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2EAB3" w14:textId="560FC667" w:rsidR="00CC4D25" w:rsidRPr="00BC79DB" w:rsidRDefault="00BC79DB" w:rsidP="007F3D6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SimSun" w:hAnsi="Arial" w:cs="Mangal"/>
          <w:b/>
          <w:smallCaps/>
          <w:sz w:val="40"/>
          <w:szCs w:val="30"/>
          <w:lang w:val="en-GB" w:eastAsia="zh-CN" w:bidi="hi-IN"/>
        </w:rPr>
      </w:pPr>
      <w:r w:rsidRPr="00BC79DB">
        <w:rPr>
          <w:rFonts w:ascii="Arial" w:eastAsia="SimSun" w:hAnsi="Arial" w:cs="Mangal"/>
          <w:b/>
          <w:smallCaps/>
          <w:sz w:val="40"/>
          <w:szCs w:val="30"/>
          <w:lang w:val="en-GB" w:eastAsia="zh-CN" w:bidi="hi-IN"/>
        </w:rPr>
        <w:t>Terms and conditions</w:t>
      </w:r>
    </w:p>
    <w:p w14:paraId="630446EF" w14:textId="418F973E" w:rsidR="00BD4A29" w:rsidRPr="00BC79DB" w:rsidRDefault="00E525E1" w:rsidP="007F3D6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SimSun" w:hAnsi="Arial" w:cs="Mangal"/>
          <w:b/>
          <w:smallCaps/>
          <w:sz w:val="40"/>
          <w:szCs w:val="30"/>
          <w:lang w:val="en-GB" w:eastAsia="zh-CN" w:bidi="hi-IN"/>
        </w:rPr>
      </w:pPr>
      <w:r w:rsidRPr="00BC79DB">
        <w:rPr>
          <w:rFonts w:ascii="Arial" w:eastAsia="SimSun" w:hAnsi="Arial" w:cs="Mangal"/>
          <w:b/>
          <w:smallCaps/>
          <w:sz w:val="40"/>
          <w:szCs w:val="30"/>
          <w:lang w:val="en-GB" w:eastAsia="zh-CN" w:bidi="hi-IN"/>
        </w:rPr>
        <w:t>Innovation Vouchers</w:t>
      </w:r>
      <w:r w:rsidR="00560831" w:rsidRPr="00BC79DB">
        <w:rPr>
          <w:rFonts w:ascii="Arial" w:eastAsia="SimSun" w:hAnsi="Arial" w:cs="Mangal"/>
          <w:b/>
          <w:smallCaps/>
          <w:sz w:val="40"/>
          <w:szCs w:val="30"/>
          <w:lang w:val="en-GB" w:eastAsia="zh-CN" w:bidi="hi-IN"/>
        </w:rPr>
        <w:t xml:space="preserve"> </w:t>
      </w:r>
      <w:r w:rsidR="00560831" w:rsidRPr="00BC79DB">
        <w:rPr>
          <w:rFonts w:ascii="Arial" w:hAnsi="Arial" w:cs="Arial"/>
          <w:b/>
          <w:sz w:val="40"/>
          <w:szCs w:val="40"/>
          <w:lang w:val="en-GB"/>
        </w:rPr>
        <w:t>(</w:t>
      </w:r>
      <w:r w:rsidR="00560831" w:rsidRPr="00BC79DB">
        <w:rPr>
          <w:rFonts w:ascii="Arial" w:hAnsi="Arial" w:cs="Arial"/>
          <w:b/>
          <w:sz w:val="40"/>
          <w:szCs w:val="40"/>
          <w:lang w:val="en-GB"/>
        </w:rPr>
        <w:fldChar w:fldCharType="begin"/>
      </w:r>
      <w:r w:rsidR="00560831" w:rsidRPr="00BC79DB">
        <w:rPr>
          <w:rFonts w:ascii="Arial" w:hAnsi="Arial" w:cs="Arial"/>
          <w:b/>
          <w:sz w:val="40"/>
          <w:szCs w:val="40"/>
          <w:lang w:val="en-GB"/>
        </w:rPr>
        <w:instrText xml:space="preserve"> date \@ "YYYY" </w:instrText>
      </w:r>
      <w:r w:rsidR="00560831" w:rsidRPr="00BC79DB">
        <w:rPr>
          <w:rFonts w:ascii="Arial" w:hAnsi="Arial" w:cs="Arial"/>
          <w:b/>
          <w:sz w:val="40"/>
          <w:szCs w:val="40"/>
          <w:lang w:val="en-GB"/>
        </w:rPr>
        <w:fldChar w:fldCharType="separate"/>
      </w:r>
      <w:r w:rsidR="00E2234B">
        <w:rPr>
          <w:rFonts w:ascii="Arial" w:hAnsi="Arial" w:cs="Arial"/>
          <w:b/>
          <w:noProof/>
          <w:sz w:val="40"/>
          <w:szCs w:val="40"/>
          <w:lang w:val="en-GB"/>
        </w:rPr>
        <w:t>2021</w:t>
      </w:r>
      <w:r w:rsidR="00560831" w:rsidRPr="00BC79DB">
        <w:rPr>
          <w:rFonts w:ascii="Arial" w:hAnsi="Arial" w:cs="Arial"/>
          <w:b/>
          <w:sz w:val="40"/>
          <w:szCs w:val="40"/>
          <w:lang w:val="en-GB"/>
        </w:rPr>
        <w:fldChar w:fldCharType="end"/>
      </w:r>
      <w:r w:rsidR="00560831" w:rsidRPr="00BC79DB">
        <w:rPr>
          <w:rFonts w:ascii="Arial" w:hAnsi="Arial" w:cs="Arial"/>
          <w:b/>
          <w:sz w:val="40"/>
          <w:szCs w:val="40"/>
          <w:lang w:val="en-GB"/>
        </w:rPr>
        <w:t>)</w:t>
      </w:r>
    </w:p>
    <w:p w14:paraId="3B7A5CCC" w14:textId="6046C883" w:rsidR="00C71565" w:rsidRPr="00BC79DB" w:rsidRDefault="00C71565">
      <w:pPr>
        <w:rPr>
          <w:lang w:val="en-GB"/>
        </w:rPr>
      </w:pPr>
    </w:p>
    <w:p w14:paraId="2709C1B0" w14:textId="7B5F2593" w:rsidR="005B4139" w:rsidRPr="00E21F43" w:rsidRDefault="005B4139" w:rsidP="002F1A89">
      <w:pPr>
        <w:jc w:val="both"/>
        <w:rPr>
          <w:rFonts w:ascii="Arial" w:hAnsi="Arial" w:cs="Arial"/>
          <w:b/>
          <w:bCs/>
          <w:color w:val="004586"/>
          <w:sz w:val="28"/>
          <w:szCs w:val="28"/>
          <w:lang w:val="en-GB"/>
        </w:rPr>
      </w:pPr>
      <w:r w:rsidRPr="00E21F43">
        <w:rPr>
          <w:rFonts w:ascii="Arial" w:hAnsi="Arial" w:cs="Arial"/>
          <w:b/>
          <w:bCs/>
          <w:color w:val="004586"/>
          <w:sz w:val="28"/>
          <w:szCs w:val="28"/>
          <w:lang w:val="en-GB"/>
        </w:rPr>
        <w:t>Objecti</w:t>
      </w:r>
      <w:r w:rsidR="005511DE" w:rsidRPr="00E21F43">
        <w:rPr>
          <w:rFonts w:ascii="Arial" w:hAnsi="Arial" w:cs="Arial"/>
          <w:b/>
          <w:bCs/>
          <w:color w:val="004586"/>
          <w:sz w:val="28"/>
          <w:szCs w:val="28"/>
          <w:lang w:val="en-GB"/>
        </w:rPr>
        <w:t>ve</w:t>
      </w:r>
    </w:p>
    <w:p w14:paraId="00DFFA45" w14:textId="0BA093AA" w:rsidR="002F1A89" w:rsidRDefault="005511DE" w:rsidP="002F1A89">
      <w:pPr>
        <w:jc w:val="both"/>
        <w:rPr>
          <w:rFonts w:ascii="Arial" w:hAnsi="Arial" w:cs="Arial"/>
          <w:sz w:val="20"/>
          <w:szCs w:val="20"/>
          <w:lang w:val="en-GB"/>
        </w:rPr>
      </w:pPr>
      <w:r w:rsidRPr="00BC79DB">
        <w:rPr>
          <w:rFonts w:ascii="Arial" w:hAnsi="Arial" w:cs="Arial"/>
          <w:sz w:val="20"/>
          <w:szCs w:val="20"/>
          <w:lang w:val="en-GB"/>
        </w:rPr>
        <w:t>This financial aid is provided within a framework of measures implemented to stimulate the economy of the Brussels Capital Region. The Innovation vouchers are intended to finance ad hoc studies, supporting innovative projects which will be conducted in authorised research centres to benefit small and medium-sized companies in Brussels.</w:t>
      </w:r>
      <w:r w:rsidR="00695F13" w:rsidRPr="00BC79DB">
        <w:rPr>
          <w:rFonts w:ascii="Arial" w:hAnsi="Arial" w:cs="Arial"/>
          <w:sz w:val="20"/>
          <w:szCs w:val="20"/>
          <w:lang w:val="en-GB"/>
        </w:rPr>
        <w:t xml:space="preserve"> </w:t>
      </w:r>
    </w:p>
    <w:p w14:paraId="2A4D86F9" w14:textId="77777777" w:rsidR="00E21F43" w:rsidRPr="00BC79DB" w:rsidRDefault="00E21F43" w:rsidP="002F1A89">
      <w:pPr>
        <w:jc w:val="both"/>
        <w:rPr>
          <w:rFonts w:ascii="Arial" w:hAnsi="Arial" w:cs="Arial"/>
          <w:sz w:val="20"/>
          <w:szCs w:val="20"/>
          <w:lang w:val="en-GB"/>
        </w:rPr>
      </w:pPr>
    </w:p>
    <w:p w14:paraId="6C5315BB" w14:textId="40463C4E" w:rsidR="002F1A89" w:rsidRPr="00E21F43" w:rsidRDefault="005511DE" w:rsidP="002F1A89">
      <w:pPr>
        <w:jc w:val="both"/>
        <w:rPr>
          <w:rFonts w:ascii="Arial" w:hAnsi="Arial" w:cs="Arial"/>
          <w:b/>
          <w:bCs/>
          <w:color w:val="004586"/>
          <w:sz w:val="28"/>
          <w:szCs w:val="28"/>
          <w:lang w:val="en-GB"/>
        </w:rPr>
      </w:pPr>
      <w:r w:rsidRPr="00E2234B">
        <w:rPr>
          <w:rFonts w:ascii="Arial" w:hAnsi="Arial" w:cs="Arial"/>
          <w:b/>
          <w:bCs/>
          <w:color w:val="004586"/>
          <w:sz w:val="28"/>
          <w:szCs w:val="28"/>
          <w:lang w:val="en-GB"/>
        </w:rPr>
        <w:t>Legal</w:t>
      </w:r>
      <w:r w:rsidRPr="00E21F43">
        <w:rPr>
          <w:rFonts w:ascii="Arial" w:hAnsi="Arial" w:cs="Arial"/>
          <w:b/>
          <w:bCs/>
          <w:color w:val="004586"/>
          <w:sz w:val="28"/>
          <w:szCs w:val="28"/>
          <w:lang w:val="en-GB"/>
        </w:rPr>
        <w:t xml:space="preserve"> framework</w:t>
      </w:r>
    </w:p>
    <w:p w14:paraId="60A593EF" w14:textId="77777777" w:rsidR="005511DE" w:rsidRPr="00BC79DB" w:rsidRDefault="005511DE" w:rsidP="002F1A89">
      <w:pPr>
        <w:jc w:val="both"/>
        <w:rPr>
          <w:rFonts w:ascii="Arial" w:hAnsi="Arial" w:cs="Arial"/>
          <w:sz w:val="20"/>
          <w:szCs w:val="20"/>
          <w:lang w:val="en-GB"/>
        </w:rPr>
      </w:pPr>
      <w:r w:rsidRPr="00BC79DB">
        <w:rPr>
          <w:rFonts w:ascii="Arial" w:hAnsi="Arial" w:cs="Arial"/>
          <w:sz w:val="20"/>
          <w:szCs w:val="20"/>
          <w:lang w:val="en-GB"/>
        </w:rPr>
        <w:t xml:space="preserve">Innovation vouchers are granted on the basis of </w:t>
      </w:r>
      <w:r w:rsidRPr="00BC79DB">
        <w:rPr>
          <w:rFonts w:ascii="Arial" w:hAnsi="Arial" w:cs="Arial"/>
          <w:b/>
          <w:bCs/>
          <w:sz w:val="20"/>
          <w:szCs w:val="20"/>
          <w:lang w:val="en-GB"/>
        </w:rPr>
        <w:t>Commission Regulation (EC) No 1407/2013</w:t>
      </w:r>
      <w:r w:rsidRPr="00BC79DB">
        <w:rPr>
          <w:rFonts w:ascii="Arial" w:hAnsi="Arial" w:cs="Arial"/>
          <w:sz w:val="20"/>
          <w:szCs w:val="20"/>
          <w:lang w:val="en-GB"/>
        </w:rPr>
        <w:t xml:space="preserve"> of 18 December 2013 on the application of Articles 107 and 108 of the Treaty on the Functioning of the European Union to </w:t>
      </w:r>
      <w:r w:rsidRPr="00BC79DB">
        <w:rPr>
          <w:rFonts w:ascii="Arial" w:hAnsi="Arial" w:cs="Arial"/>
          <w:b/>
          <w:bCs/>
          <w:sz w:val="20"/>
          <w:szCs w:val="20"/>
          <w:lang w:val="en-GB"/>
        </w:rPr>
        <w:t>de minimis</w:t>
      </w:r>
      <w:r w:rsidRPr="00BC79DB">
        <w:rPr>
          <w:rFonts w:ascii="Arial" w:hAnsi="Arial" w:cs="Arial"/>
          <w:sz w:val="20"/>
          <w:szCs w:val="20"/>
          <w:lang w:val="en-GB"/>
        </w:rPr>
        <w:t xml:space="preserve"> aid. </w:t>
      </w:r>
    </w:p>
    <w:p w14:paraId="4537E4B0" w14:textId="0C4CFC79" w:rsidR="005511DE" w:rsidRPr="00BC79DB" w:rsidRDefault="005511DE" w:rsidP="002F1A89">
      <w:pPr>
        <w:jc w:val="both"/>
        <w:rPr>
          <w:rFonts w:ascii="Arial" w:hAnsi="Arial" w:cs="Arial"/>
          <w:sz w:val="20"/>
          <w:szCs w:val="20"/>
          <w:lang w:val="en-GB"/>
        </w:rPr>
      </w:pPr>
      <w:r w:rsidRPr="00BC79DB">
        <w:rPr>
          <w:rFonts w:ascii="Arial" w:hAnsi="Arial" w:cs="Arial"/>
          <w:sz w:val="20"/>
          <w:szCs w:val="20"/>
          <w:lang w:val="en-GB"/>
        </w:rPr>
        <w:t xml:space="preserve">This Regulation ensures that the total sum of de minimis aid granted to a single beneficiary does not exceed €200,000 over a 3-year period. This ceiling applies irrespective of the form and objective of the de minimis aid or the (regional or national) subsidising entities. </w:t>
      </w:r>
    </w:p>
    <w:p w14:paraId="38A14050" w14:textId="254AE4CA" w:rsidR="005511DE" w:rsidRPr="00BC79DB" w:rsidRDefault="005511DE" w:rsidP="002F1A89">
      <w:pPr>
        <w:jc w:val="both"/>
        <w:rPr>
          <w:rFonts w:ascii="Arial" w:hAnsi="Arial" w:cs="Arial"/>
          <w:sz w:val="20"/>
          <w:szCs w:val="20"/>
          <w:lang w:val="en-GB"/>
        </w:rPr>
      </w:pPr>
      <w:r w:rsidRPr="00BC79DB">
        <w:rPr>
          <w:rFonts w:ascii="Arial" w:hAnsi="Arial" w:cs="Arial"/>
          <w:sz w:val="20"/>
          <w:szCs w:val="20"/>
          <w:lang w:val="en-GB"/>
        </w:rPr>
        <w:t xml:space="preserve">The beneficiary should note that it </w:t>
      </w:r>
      <w:r w:rsidRPr="00BC79DB">
        <w:rPr>
          <w:rFonts w:ascii="Arial" w:hAnsi="Arial" w:cs="Arial"/>
          <w:b/>
          <w:bCs/>
          <w:sz w:val="20"/>
          <w:szCs w:val="20"/>
          <w:lang w:val="en-GB"/>
        </w:rPr>
        <w:t>must provide</w:t>
      </w:r>
      <w:r w:rsidRPr="00BC79DB">
        <w:rPr>
          <w:rFonts w:ascii="Arial" w:hAnsi="Arial" w:cs="Arial"/>
          <w:sz w:val="20"/>
          <w:szCs w:val="20"/>
          <w:lang w:val="en-GB"/>
        </w:rPr>
        <w:t xml:space="preserve"> (to the Region) </w:t>
      </w:r>
      <w:r w:rsidRPr="00BC79DB">
        <w:rPr>
          <w:rFonts w:ascii="Arial" w:hAnsi="Arial" w:cs="Arial"/>
          <w:b/>
          <w:bCs/>
          <w:sz w:val="20"/>
          <w:szCs w:val="20"/>
          <w:lang w:val="en-GB"/>
        </w:rPr>
        <w:t>complete information on other de minimis aid that it would have potentially received over the course of the 3 previous years</w:t>
      </w:r>
      <w:r w:rsidRPr="00BC79DB">
        <w:rPr>
          <w:rFonts w:ascii="Arial" w:hAnsi="Arial" w:cs="Arial"/>
          <w:sz w:val="20"/>
          <w:szCs w:val="20"/>
          <w:lang w:val="en-GB"/>
        </w:rPr>
        <w:t xml:space="preserve">. To do this, the beneficiary must complete the sworn statement annexed in the application form. </w:t>
      </w:r>
    </w:p>
    <w:p w14:paraId="62481674" w14:textId="2D44E6E7" w:rsidR="005511DE" w:rsidRPr="00BC79DB" w:rsidRDefault="005511DE" w:rsidP="002F1A89">
      <w:pPr>
        <w:jc w:val="both"/>
        <w:rPr>
          <w:rFonts w:ascii="Arial" w:hAnsi="Arial" w:cs="Arial"/>
          <w:sz w:val="20"/>
          <w:szCs w:val="20"/>
          <w:lang w:val="en-GB"/>
        </w:rPr>
      </w:pPr>
      <w:r w:rsidRPr="00BC79DB">
        <w:rPr>
          <w:rFonts w:ascii="Arial" w:hAnsi="Arial" w:cs="Arial"/>
          <w:sz w:val="20"/>
          <w:szCs w:val="20"/>
          <w:lang w:val="en-GB"/>
        </w:rPr>
        <w:t xml:space="preserve">More information on de minimis aid is available </w:t>
      </w:r>
      <w:hyperlink r:id="rId8" w:history="1">
        <w:r w:rsidRPr="00BC79DB">
          <w:rPr>
            <w:rStyle w:val="Lienhypertexte"/>
            <w:rFonts w:ascii="Arial" w:hAnsi="Arial" w:cs="Arial"/>
            <w:sz w:val="20"/>
            <w:szCs w:val="20"/>
            <w:lang w:val="en-GB"/>
          </w:rPr>
          <w:t>here</w:t>
        </w:r>
      </w:hyperlink>
      <w:r w:rsidRPr="00BC79DB">
        <w:rPr>
          <w:rFonts w:ascii="Arial" w:hAnsi="Arial" w:cs="Arial"/>
          <w:sz w:val="20"/>
          <w:szCs w:val="20"/>
          <w:lang w:val="en-GB"/>
        </w:rPr>
        <w:t xml:space="preserve">. </w:t>
      </w:r>
    </w:p>
    <w:p w14:paraId="4425260A" w14:textId="77777777" w:rsidR="005511DE" w:rsidRPr="00BC79DB" w:rsidRDefault="005511DE" w:rsidP="002F1A89">
      <w:pPr>
        <w:jc w:val="both"/>
        <w:rPr>
          <w:rFonts w:ascii="Arial" w:hAnsi="Arial" w:cs="Arial"/>
          <w:sz w:val="20"/>
          <w:szCs w:val="20"/>
          <w:lang w:val="en-GB"/>
        </w:rPr>
      </w:pPr>
      <w:r w:rsidRPr="00BC79DB">
        <w:rPr>
          <w:rFonts w:ascii="Arial" w:hAnsi="Arial" w:cs="Arial"/>
          <w:sz w:val="20"/>
          <w:szCs w:val="20"/>
          <w:lang w:val="en-GB"/>
        </w:rPr>
        <w:t xml:space="preserve">The conventional R&amp;D aid granted by Innoviris is not affected by this ceiling. The rules governing </w:t>
      </w:r>
    </w:p>
    <w:p w14:paraId="33ACAED6" w14:textId="02925DCD" w:rsidR="00147E03" w:rsidRPr="00BC79DB" w:rsidRDefault="005511DE" w:rsidP="002F1A89">
      <w:pPr>
        <w:jc w:val="both"/>
        <w:rPr>
          <w:rFonts w:ascii="Arial" w:hAnsi="Arial" w:cs="Arial"/>
          <w:sz w:val="20"/>
          <w:szCs w:val="20"/>
          <w:lang w:val="en-GB"/>
        </w:rPr>
      </w:pPr>
      <w:r w:rsidRPr="00BC79DB">
        <w:rPr>
          <w:rFonts w:ascii="Arial" w:hAnsi="Arial" w:cs="Arial"/>
          <w:sz w:val="20"/>
          <w:szCs w:val="20"/>
          <w:lang w:val="en-GB"/>
        </w:rPr>
        <w:t>Innovation voucher grants are included in the Ordinance of 27 July 2017 aiming to promote research, development, and innovation by granting aids allocated for economic purposes for the benefit of companies and research organisations equated with companies.</w:t>
      </w:r>
      <w:r w:rsidR="00695F13" w:rsidRPr="00BC79DB">
        <w:rPr>
          <w:rFonts w:ascii="Arial" w:hAnsi="Arial" w:cs="Arial"/>
          <w:sz w:val="20"/>
          <w:szCs w:val="20"/>
          <w:lang w:val="en-GB"/>
        </w:rPr>
        <w:t xml:space="preserve"> </w:t>
      </w:r>
    </w:p>
    <w:p w14:paraId="113624F7" w14:textId="75505146" w:rsidR="00147E03" w:rsidRPr="00E2234B" w:rsidRDefault="005511DE" w:rsidP="002F1A89">
      <w:pPr>
        <w:jc w:val="both"/>
        <w:rPr>
          <w:rFonts w:ascii="Arial" w:hAnsi="Arial" w:cs="Arial"/>
          <w:b/>
          <w:bCs/>
          <w:color w:val="004586"/>
          <w:sz w:val="28"/>
          <w:szCs w:val="28"/>
          <w:lang w:val="en-GB"/>
        </w:rPr>
      </w:pPr>
      <w:r w:rsidRPr="00E2234B">
        <w:rPr>
          <w:rFonts w:ascii="Arial" w:hAnsi="Arial" w:cs="Arial"/>
          <w:b/>
          <w:bCs/>
          <w:color w:val="004586"/>
          <w:sz w:val="28"/>
          <w:szCs w:val="28"/>
          <w:lang w:val="en-GB"/>
        </w:rPr>
        <w:t>Eligible companies</w:t>
      </w:r>
    </w:p>
    <w:p w14:paraId="6378A311" w14:textId="77777777" w:rsidR="005511DE" w:rsidRPr="00BC79DB" w:rsidRDefault="005511DE" w:rsidP="002F1A89">
      <w:pPr>
        <w:jc w:val="both"/>
        <w:rPr>
          <w:rFonts w:ascii="Arial" w:hAnsi="Arial" w:cs="Arial"/>
          <w:sz w:val="20"/>
          <w:szCs w:val="20"/>
          <w:lang w:val="en-GB"/>
        </w:rPr>
      </w:pPr>
      <w:r w:rsidRPr="00BC79DB">
        <w:rPr>
          <w:rFonts w:ascii="Arial" w:hAnsi="Arial" w:cs="Arial"/>
          <w:sz w:val="20"/>
          <w:szCs w:val="20"/>
          <w:lang w:val="en-GB"/>
        </w:rPr>
        <w:t xml:space="preserve">The initiative is directed at </w:t>
      </w:r>
      <w:r w:rsidRPr="00BC79DB">
        <w:rPr>
          <w:rFonts w:ascii="Arial" w:hAnsi="Arial" w:cs="Arial"/>
          <w:b/>
          <w:bCs/>
          <w:sz w:val="20"/>
          <w:szCs w:val="20"/>
          <w:lang w:val="en-GB"/>
        </w:rPr>
        <w:t>small and medium-sized companies</w:t>
      </w:r>
      <w:r w:rsidRPr="00BC79DB">
        <w:rPr>
          <w:rFonts w:ascii="Arial" w:hAnsi="Arial" w:cs="Arial"/>
          <w:sz w:val="20"/>
          <w:szCs w:val="20"/>
          <w:lang w:val="en-GB"/>
        </w:rPr>
        <w:t xml:space="preserve"> wishing to receive financial aid for completion of a one-off study without necessarily having the personnel or facilities required to conduct it. </w:t>
      </w:r>
    </w:p>
    <w:p w14:paraId="03144EE2" w14:textId="77777777" w:rsidR="005511DE" w:rsidRPr="00BC79DB" w:rsidRDefault="005511DE" w:rsidP="002F1A89">
      <w:pPr>
        <w:jc w:val="both"/>
        <w:rPr>
          <w:rFonts w:ascii="Arial" w:hAnsi="Arial" w:cs="Arial"/>
          <w:sz w:val="20"/>
          <w:szCs w:val="20"/>
          <w:lang w:val="en-GB"/>
        </w:rPr>
      </w:pPr>
      <w:r w:rsidRPr="00BC79DB">
        <w:rPr>
          <w:rFonts w:ascii="Arial" w:hAnsi="Arial" w:cs="Arial"/>
          <w:sz w:val="20"/>
          <w:szCs w:val="20"/>
          <w:lang w:val="en-GB"/>
        </w:rPr>
        <w:t xml:space="preserve">Altogether, 3 parties are involved in the Innovation Vouchers initiative: </w:t>
      </w:r>
    </w:p>
    <w:p w14:paraId="79C77C3C" w14:textId="69DEBD9D" w:rsidR="005511DE" w:rsidRPr="00BC79DB" w:rsidRDefault="005511DE" w:rsidP="005511DE">
      <w:pPr>
        <w:pStyle w:val="Paragraphedeliste"/>
        <w:numPr>
          <w:ilvl w:val="0"/>
          <w:numId w:val="16"/>
        </w:numPr>
        <w:jc w:val="both"/>
        <w:rPr>
          <w:rFonts w:ascii="Arial" w:hAnsi="Arial" w:cs="Arial"/>
          <w:sz w:val="20"/>
          <w:szCs w:val="20"/>
          <w:lang w:val="en-GB"/>
        </w:rPr>
      </w:pPr>
      <w:r w:rsidRPr="00BC79DB">
        <w:rPr>
          <w:rFonts w:ascii="Arial" w:hAnsi="Arial" w:cs="Arial"/>
          <w:sz w:val="20"/>
          <w:szCs w:val="20"/>
          <w:lang w:val="en-GB"/>
        </w:rPr>
        <w:t>Innoviris: Brussels Institute for Research and Innovation that acts as a subsidising authority under the hierarchy of the Ministry of Scientific Research of the Brussels Capital Region</w:t>
      </w:r>
    </w:p>
    <w:p w14:paraId="3ECBB690" w14:textId="293F1380" w:rsidR="005511DE" w:rsidRPr="00BC79DB" w:rsidRDefault="005511DE" w:rsidP="005511DE">
      <w:pPr>
        <w:pStyle w:val="Paragraphedeliste"/>
        <w:numPr>
          <w:ilvl w:val="0"/>
          <w:numId w:val="16"/>
        </w:numPr>
        <w:jc w:val="both"/>
        <w:rPr>
          <w:rFonts w:ascii="Arial" w:hAnsi="Arial" w:cs="Arial"/>
          <w:sz w:val="20"/>
          <w:szCs w:val="20"/>
          <w:lang w:val="en-GB"/>
        </w:rPr>
      </w:pPr>
      <w:r w:rsidRPr="00BC79DB">
        <w:rPr>
          <w:rFonts w:ascii="Arial" w:hAnsi="Arial" w:cs="Arial"/>
          <w:sz w:val="20"/>
          <w:szCs w:val="20"/>
          <w:lang w:val="en-GB"/>
        </w:rPr>
        <w:t xml:space="preserve">The Sponsor: the small or medium-sized company that has at least one place of business in the Brussels Capital Region and that submits the aid request. Calculating the size of the company is done in accordance with </w:t>
      </w:r>
      <w:hyperlink r:id="rId9" w:history="1">
        <w:r w:rsidRPr="00BC79DB">
          <w:rPr>
            <w:rStyle w:val="Lienhypertexte"/>
            <w:rFonts w:ascii="Arial" w:hAnsi="Arial" w:cs="Arial"/>
            <w:sz w:val="20"/>
            <w:szCs w:val="20"/>
            <w:lang w:val="en-GB"/>
          </w:rPr>
          <w:t>Commission Recommendation 2003/361/EC of 6 May 2003 concerning the definition of micro, small and medium-sized enterprises</w:t>
        </w:r>
      </w:hyperlink>
      <w:r w:rsidRPr="00BC79DB">
        <w:rPr>
          <w:rFonts w:ascii="Arial" w:hAnsi="Arial" w:cs="Arial"/>
          <w:sz w:val="20"/>
          <w:szCs w:val="20"/>
          <w:lang w:val="en-GB"/>
        </w:rPr>
        <w:t>.</w:t>
      </w:r>
    </w:p>
    <w:p w14:paraId="3ABEFCD8" w14:textId="77777777" w:rsidR="00C93C89" w:rsidRPr="00BC79DB" w:rsidRDefault="005511DE" w:rsidP="005511DE">
      <w:pPr>
        <w:pStyle w:val="Paragraphedeliste"/>
        <w:numPr>
          <w:ilvl w:val="0"/>
          <w:numId w:val="16"/>
        </w:numPr>
        <w:jc w:val="both"/>
        <w:rPr>
          <w:rFonts w:ascii="Arial" w:hAnsi="Arial" w:cs="Arial"/>
          <w:sz w:val="20"/>
          <w:szCs w:val="20"/>
          <w:lang w:val="en-GB"/>
        </w:rPr>
      </w:pPr>
      <w:r w:rsidRPr="00BC79DB">
        <w:rPr>
          <w:rFonts w:ascii="Arial" w:hAnsi="Arial" w:cs="Arial"/>
          <w:sz w:val="20"/>
          <w:szCs w:val="20"/>
          <w:lang w:val="en-GB"/>
        </w:rPr>
        <w:t xml:space="preserve">The Service provider: the recognised research centre </w:t>
      </w:r>
    </w:p>
    <w:p w14:paraId="434374C4" w14:textId="7B3FCA5B" w:rsidR="005511DE" w:rsidRDefault="005511DE" w:rsidP="00C93C89">
      <w:pPr>
        <w:jc w:val="both"/>
        <w:rPr>
          <w:rFonts w:ascii="Arial" w:hAnsi="Arial" w:cs="Arial"/>
          <w:sz w:val="20"/>
          <w:szCs w:val="20"/>
          <w:lang w:val="en-GB"/>
        </w:rPr>
      </w:pPr>
      <w:r w:rsidRPr="00BC79DB">
        <w:rPr>
          <w:rFonts w:ascii="Arial" w:hAnsi="Arial" w:cs="Arial"/>
          <w:sz w:val="20"/>
          <w:szCs w:val="20"/>
          <w:lang w:val="en-GB"/>
        </w:rPr>
        <w:t>These 3 parties must be identified during submission of the application.</w:t>
      </w:r>
    </w:p>
    <w:p w14:paraId="10998F60" w14:textId="6E1DFE42" w:rsidR="00E21F43" w:rsidRPr="00BC79DB" w:rsidRDefault="00E21F43" w:rsidP="00E21F43">
      <w:pPr>
        <w:rPr>
          <w:rFonts w:ascii="Arial" w:hAnsi="Arial" w:cs="Arial"/>
          <w:sz w:val="20"/>
          <w:szCs w:val="20"/>
          <w:lang w:val="en-GB"/>
        </w:rPr>
      </w:pPr>
      <w:r>
        <w:rPr>
          <w:rFonts w:ascii="Arial" w:hAnsi="Arial" w:cs="Arial"/>
          <w:sz w:val="20"/>
          <w:szCs w:val="20"/>
          <w:lang w:val="en-GB"/>
        </w:rPr>
        <w:br w:type="page"/>
      </w:r>
    </w:p>
    <w:p w14:paraId="355D3F18" w14:textId="6CC82617" w:rsidR="00AA1E01" w:rsidRPr="00E21F43" w:rsidRDefault="00C93C89" w:rsidP="002F1A89">
      <w:pPr>
        <w:jc w:val="both"/>
        <w:rPr>
          <w:rFonts w:ascii="Arial" w:hAnsi="Arial" w:cs="Arial"/>
          <w:b/>
          <w:bCs/>
          <w:color w:val="004586"/>
          <w:sz w:val="28"/>
          <w:szCs w:val="28"/>
          <w:lang w:val="en-GB"/>
        </w:rPr>
      </w:pPr>
      <w:r w:rsidRPr="00E21F43">
        <w:rPr>
          <w:rFonts w:ascii="Arial" w:hAnsi="Arial" w:cs="Arial"/>
          <w:b/>
          <w:bCs/>
          <w:color w:val="004586"/>
          <w:sz w:val="28"/>
          <w:szCs w:val="28"/>
          <w:lang w:val="en-GB"/>
        </w:rPr>
        <w:lastRenderedPageBreak/>
        <w:t>Funding amount</w:t>
      </w:r>
    </w:p>
    <w:p w14:paraId="4320B718" w14:textId="4B79B4E5" w:rsidR="00C87EC5" w:rsidRPr="00BC79DB" w:rsidRDefault="00C93C89" w:rsidP="002F1A89">
      <w:pPr>
        <w:jc w:val="both"/>
        <w:rPr>
          <w:rFonts w:ascii="Arial" w:hAnsi="Arial" w:cs="Arial"/>
          <w:sz w:val="20"/>
          <w:szCs w:val="20"/>
          <w:lang w:val="en-GB"/>
        </w:rPr>
      </w:pPr>
      <w:r w:rsidRPr="00BC79DB">
        <w:rPr>
          <w:rFonts w:ascii="Arial" w:hAnsi="Arial" w:cs="Arial"/>
          <w:sz w:val="20"/>
          <w:szCs w:val="20"/>
          <w:lang w:val="en-GB"/>
        </w:rPr>
        <w:t>This financial aid is limited to €10,000 per calendar year per company and covers a maximum of 75% of the costs excl. VAT related to the study as described in the application. The balance and VAT are at the expense of the Sponsor. Eligible costs are as follows</w:t>
      </w:r>
      <w:r w:rsidR="00695F13" w:rsidRPr="00BC79DB">
        <w:rPr>
          <w:rFonts w:ascii="Arial" w:hAnsi="Arial" w:cs="Arial"/>
          <w:sz w:val="20"/>
          <w:szCs w:val="20"/>
          <w:lang w:val="en-GB"/>
        </w:rPr>
        <w:t xml:space="preserve">: </w:t>
      </w:r>
    </w:p>
    <w:p w14:paraId="747E222E" w14:textId="77777777" w:rsidR="00C93C89" w:rsidRPr="00BC79DB" w:rsidRDefault="00C93C89" w:rsidP="00C93C89">
      <w:pPr>
        <w:pStyle w:val="Paragraphedeliste"/>
        <w:numPr>
          <w:ilvl w:val="0"/>
          <w:numId w:val="17"/>
        </w:numPr>
        <w:jc w:val="both"/>
        <w:rPr>
          <w:rFonts w:ascii="Arial" w:hAnsi="Arial" w:cs="Arial"/>
          <w:sz w:val="20"/>
          <w:szCs w:val="20"/>
          <w:lang w:val="en-GB"/>
        </w:rPr>
      </w:pPr>
      <w:r w:rsidRPr="00BC79DB">
        <w:rPr>
          <w:rFonts w:ascii="Arial" w:hAnsi="Arial" w:cs="Arial"/>
          <w:sz w:val="20"/>
          <w:szCs w:val="20"/>
          <w:lang w:val="en-GB"/>
        </w:rPr>
        <w:t>Personnel costs expressed in ½ working days for an engineer (or similar) or a technician, this sum including salaries of personnel, current expenditures inherent to its activity and general operating expenses. These prices are fixed at a flat rate by mutual agreement between Innoviris and the service provider.</w:t>
      </w:r>
    </w:p>
    <w:p w14:paraId="044C018A" w14:textId="77777777" w:rsidR="00C93C89" w:rsidRPr="00BC79DB" w:rsidRDefault="00C93C89" w:rsidP="00C93C89">
      <w:pPr>
        <w:pStyle w:val="Paragraphedeliste"/>
        <w:numPr>
          <w:ilvl w:val="0"/>
          <w:numId w:val="17"/>
        </w:numPr>
        <w:jc w:val="both"/>
        <w:rPr>
          <w:rFonts w:ascii="Arial" w:hAnsi="Arial" w:cs="Arial"/>
          <w:sz w:val="20"/>
          <w:szCs w:val="20"/>
          <w:lang w:val="en-GB"/>
        </w:rPr>
      </w:pPr>
      <w:r w:rsidRPr="00BC79DB">
        <w:rPr>
          <w:rFonts w:ascii="Arial" w:hAnsi="Arial" w:cs="Arial"/>
          <w:sz w:val="20"/>
          <w:szCs w:val="20"/>
          <w:lang w:val="en-GB"/>
        </w:rPr>
        <w:t>Exceptional operating expenses, provided they are accepted by Innoviris. User fees (lump sum) and operating expenses of certain infrastructures or equipment are included in this category.</w:t>
      </w:r>
    </w:p>
    <w:p w14:paraId="2ECE299D" w14:textId="77777777" w:rsidR="00C93C89" w:rsidRPr="00BC79DB" w:rsidRDefault="00C93C89" w:rsidP="00C93C89">
      <w:pPr>
        <w:pStyle w:val="Paragraphedeliste"/>
        <w:numPr>
          <w:ilvl w:val="0"/>
          <w:numId w:val="17"/>
        </w:numPr>
        <w:jc w:val="both"/>
        <w:rPr>
          <w:rFonts w:ascii="Arial" w:hAnsi="Arial" w:cs="Arial"/>
          <w:sz w:val="20"/>
          <w:szCs w:val="20"/>
          <w:lang w:val="en-GB"/>
        </w:rPr>
      </w:pPr>
      <w:r w:rsidRPr="00BC79DB">
        <w:rPr>
          <w:rFonts w:ascii="Arial" w:hAnsi="Arial" w:cs="Arial"/>
          <w:sz w:val="20"/>
          <w:szCs w:val="20"/>
          <w:lang w:val="en-GB"/>
        </w:rPr>
        <w:t>The cost of the instruments and equipment, to the extent and for the duration used for the project, provided they are accepted by Innoviris. When these instruments and this equipment are not used throughout their lifespan in the frame of the project, only the depreciation costs corresponding to the duration of the project, calculated in accordance with generally accepted accounting principles, are deemed to be admissible.</w:t>
      </w:r>
    </w:p>
    <w:p w14:paraId="3A6FE244" w14:textId="30F12967" w:rsidR="00C93C89" w:rsidRPr="00BC79DB" w:rsidRDefault="00C93C89" w:rsidP="00C93C89">
      <w:pPr>
        <w:pStyle w:val="Paragraphedeliste"/>
        <w:numPr>
          <w:ilvl w:val="0"/>
          <w:numId w:val="17"/>
        </w:numPr>
        <w:jc w:val="both"/>
        <w:rPr>
          <w:rFonts w:ascii="Arial" w:hAnsi="Arial" w:cs="Arial"/>
          <w:sz w:val="20"/>
          <w:szCs w:val="20"/>
          <w:lang w:val="en-GB"/>
        </w:rPr>
      </w:pPr>
      <w:r w:rsidRPr="00BC79DB">
        <w:rPr>
          <w:rFonts w:ascii="Arial" w:hAnsi="Arial" w:cs="Arial"/>
          <w:sz w:val="20"/>
          <w:szCs w:val="20"/>
          <w:lang w:val="en-GB"/>
        </w:rPr>
        <w:t>Possible subcontracting costs, provided they are accepted by Innoviris.</w:t>
      </w:r>
    </w:p>
    <w:p w14:paraId="34BE5955" w14:textId="35D20B45" w:rsidR="00BE5856" w:rsidRPr="00BC79DB" w:rsidRDefault="00C93C89" w:rsidP="00BE5856">
      <w:pPr>
        <w:jc w:val="both"/>
        <w:rPr>
          <w:rFonts w:ascii="Arial" w:hAnsi="Arial" w:cs="Arial"/>
          <w:sz w:val="20"/>
          <w:szCs w:val="20"/>
          <w:lang w:val="en-GB"/>
        </w:rPr>
      </w:pPr>
      <w:r w:rsidRPr="00BC79DB">
        <w:rPr>
          <w:rFonts w:ascii="Arial" w:hAnsi="Arial" w:cs="Arial"/>
          <w:sz w:val="20"/>
          <w:szCs w:val="20"/>
          <w:lang w:val="en-GB"/>
        </w:rPr>
        <w:t>The costs of subcontracting and possible exceptional expenses must be provided as quantified estimates in supporting documents</w:t>
      </w:r>
      <w:r w:rsidR="00695F13" w:rsidRPr="00BC79DB">
        <w:rPr>
          <w:rFonts w:ascii="Arial" w:hAnsi="Arial" w:cs="Arial"/>
          <w:sz w:val="20"/>
          <w:szCs w:val="20"/>
          <w:lang w:val="en-GB"/>
        </w:rPr>
        <w:t>.</w:t>
      </w:r>
    </w:p>
    <w:p w14:paraId="13A4957D" w14:textId="77777777" w:rsidR="00E21F43" w:rsidRDefault="00C93C89" w:rsidP="00BE5856">
      <w:pPr>
        <w:jc w:val="both"/>
        <w:rPr>
          <w:rFonts w:ascii="Arial" w:hAnsi="Arial" w:cs="Arial"/>
          <w:sz w:val="20"/>
          <w:szCs w:val="20"/>
          <w:lang w:val="en-GB"/>
        </w:rPr>
      </w:pPr>
      <w:r w:rsidRPr="00BC79DB">
        <w:rPr>
          <w:rFonts w:ascii="Arial" w:hAnsi="Arial" w:cs="Arial"/>
          <w:sz w:val="20"/>
          <w:szCs w:val="20"/>
          <w:lang w:val="en-GB"/>
        </w:rPr>
        <w:t>The financial aid that can be received covers a variable period with a maximum of 15 months. All activities must be exercised during a period covered by the recognition of the service provider</w:t>
      </w:r>
      <w:r w:rsidR="00695F13" w:rsidRPr="00BC79DB">
        <w:rPr>
          <w:rFonts w:ascii="Arial" w:hAnsi="Arial" w:cs="Arial"/>
          <w:sz w:val="20"/>
          <w:szCs w:val="20"/>
          <w:lang w:val="en-GB"/>
        </w:rPr>
        <w:t>.</w:t>
      </w:r>
    </w:p>
    <w:p w14:paraId="08718C9F" w14:textId="4CCA9AE1" w:rsidR="00C87EC5" w:rsidRPr="00BC79DB" w:rsidRDefault="00695F13" w:rsidP="00BE5856">
      <w:pPr>
        <w:jc w:val="both"/>
        <w:rPr>
          <w:rFonts w:ascii="Arial" w:hAnsi="Arial" w:cs="Arial"/>
          <w:sz w:val="20"/>
          <w:szCs w:val="20"/>
          <w:lang w:val="en-GB"/>
        </w:rPr>
      </w:pPr>
      <w:r w:rsidRPr="00BC79DB">
        <w:rPr>
          <w:rFonts w:ascii="Arial" w:hAnsi="Arial" w:cs="Arial"/>
          <w:sz w:val="20"/>
          <w:szCs w:val="20"/>
          <w:lang w:val="en-GB"/>
        </w:rPr>
        <w:t xml:space="preserve"> </w:t>
      </w:r>
    </w:p>
    <w:p w14:paraId="70594910" w14:textId="1F0CE56F" w:rsidR="00C87EC5" w:rsidRPr="00E21F43" w:rsidRDefault="00E21F43" w:rsidP="002F1A89">
      <w:pPr>
        <w:jc w:val="both"/>
        <w:rPr>
          <w:rFonts w:ascii="Arial" w:hAnsi="Arial" w:cs="Arial"/>
          <w:b/>
          <w:bCs/>
          <w:color w:val="004586"/>
          <w:sz w:val="28"/>
          <w:szCs w:val="28"/>
          <w:lang w:val="en-GB"/>
        </w:rPr>
      </w:pPr>
      <w:r w:rsidRPr="00E21F43">
        <w:rPr>
          <w:rFonts w:ascii="Arial" w:hAnsi="Arial" w:cs="Arial"/>
          <w:b/>
          <w:bCs/>
          <w:color w:val="004586"/>
          <w:sz w:val="28"/>
          <w:szCs w:val="28"/>
          <w:lang w:val="en-GB"/>
        </w:rPr>
        <w:t>Eligible services</w:t>
      </w:r>
    </w:p>
    <w:p w14:paraId="3D2A5F59" w14:textId="131EF152" w:rsidR="00BE5856" w:rsidRPr="00BC79DB" w:rsidRDefault="00C93C89" w:rsidP="002F1A89">
      <w:pPr>
        <w:jc w:val="both"/>
        <w:rPr>
          <w:rFonts w:ascii="Arial" w:hAnsi="Arial" w:cs="Arial"/>
          <w:sz w:val="20"/>
          <w:szCs w:val="20"/>
          <w:lang w:val="en-GB"/>
        </w:rPr>
      </w:pPr>
      <w:r w:rsidRPr="00BC79DB">
        <w:rPr>
          <w:rFonts w:ascii="Arial" w:hAnsi="Arial" w:cs="Arial"/>
          <w:sz w:val="20"/>
          <w:szCs w:val="20"/>
          <w:lang w:val="en-GB"/>
        </w:rPr>
        <w:t xml:space="preserve">Eligible services are listed </w:t>
      </w:r>
      <w:r w:rsidR="00BC79DB" w:rsidRPr="00BC79DB">
        <w:rPr>
          <w:rFonts w:ascii="Arial" w:hAnsi="Arial" w:cs="Arial"/>
          <w:sz w:val="20"/>
          <w:szCs w:val="20"/>
          <w:lang w:val="en-GB"/>
        </w:rPr>
        <w:t>below:</w:t>
      </w:r>
      <w:r w:rsidR="00695F13" w:rsidRPr="00BC79DB">
        <w:rPr>
          <w:rFonts w:ascii="Arial" w:hAnsi="Arial" w:cs="Arial"/>
          <w:sz w:val="20"/>
          <w:szCs w:val="20"/>
          <w:lang w:val="en-GB"/>
        </w:rPr>
        <w:t xml:space="preserve"> </w:t>
      </w:r>
    </w:p>
    <w:p w14:paraId="30599B6D" w14:textId="569E597E" w:rsidR="00BE5856" w:rsidRPr="00BC79DB" w:rsidRDefault="00C93C89" w:rsidP="002F1A89">
      <w:pPr>
        <w:jc w:val="both"/>
        <w:rPr>
          <w:rFonts w:ascii="Arial" w:hAnsi="Arial" w:cs="Arial"/>
          <w:sz w:val="20"/>
          <w:szCs w:val="20"/>
          <w:lang w:val="en-GB"/>
        </w:rPr>
      </w:pPr>
      <w:r w:rsidRPr="00BC79DB">
        <w:rPr>
          <w:rFonts w:ascii="Arial" w:hAnsi="Arial" w:cs="Arial"/>
          <w:b/>
          <w:bCs/>
          <w:sz w:val="20"/>
          <w:szCs w:val="20"/>
          <w:lang w:val="en-GB"/>
        </w:rPr>
        <w:t>Exploration phase</w:t>
      </w:r>
    </w:p>
    <w:p w14:paraId="09F77D55" w14:textId="62E896E1" w:rsidR="00BE5856" w:rsidRPr="00BC79DB" w:rsidRDefault="00C93C89" w:rsidP="00C93C89">
      <w:pPr>
        <w:pStyle w:val="Paragraphedeliste"/>
        <w:numPr>
          <w:ilvl w:val="0"/>
          <w:numId w:val="19"/>
        </w:numPr>
        <w:jc w:val="both"/>
        <w:rPr>
          <w:rFonts w:ascii="Arial" w:hAnsi="Arial" w:cs="Arial"/>
          <w:sz w:val="20"/>
          <w:szCs w:val="20"/>
          <w:lang w:val="en-GB"/>
        </w:rPr>
      </w:pPr>
      <w:r w:rsidRPr="00BC79DB">
        <w:rPr>
          <w:rFonts w:ascii="Arial" w:hAnsi="Arial" w:cs="Arial"/>
          <w:sz w:val="20"/>
          <w:szCs w:val="20"/>
          <w:lang w:val="en-GB"/>
        </w:rPr>
        <w:t>Tests, calculations, and preliminary analyses</w:t>
      </w:r>
      <w:r w:rsidR="00695F13" w:rsidRPr="00BC79DB">
        <w:rPr>
          <w:rFonts w:ascii="Arial" w:hAnsi="Arial" w:cs="Arial"/>
          <w:sz w:val="20"/>
          <w:szCs w:val="20"/>
          <w:lang w:val="en-GB"/>
        </w:rPr>
        <w:t xml:space="preserve"> </w:t>
      </w:r>
    </w:p>
    <w:p w14:paraId="07E2C61D" w14:textId="551BE331" w:rsidR="00BE5856" w:rsidRPr="00BC79DB" w:rsidRDefault="00C93C89" w:rsidP="002F1A89">
      <w:pPr>
        <w:jc w:val="both"/>
        <w:rPr>
          <w:rFonts w:ascii="Arial" w:hAnsi="Arial" w:cs="Arial"/>
          <w:sz w:val="20"/>
          <w:szCs w:val="20"/>
          <w:lang w:val="en-GB"/>
        </w:rPr>
      </w:pPr>
      <w:r w:rsidRPr="00BC79DB">
        <w:rPr>
          <w:rFonts w:ascii="Arial" w:hAnsi="Arial" w:cs="Arial"/>
          <w:b/>
          <w:bCs/>
          <w:sz w:val="20"/>
          <w:szCs w:val="20"/>
          <w:lang w:val="en-GB"/>
        </w:rPr>
        <w:t>Design phase</w:t>
      </w:r>
      <w:r w:rsidR="00695F13" w:rsidRPr="00BC79DB">
        <w:rPr>
          <w:rFonts w:ascii="Arial" w:hAnsi="Arial" w:cs="Arial"/>
          <w:sz w:val="20"/>
          <w:szCs w:val="20"/>
          <w:lang w:val="en-GB"/>
        </w:rPr>
        <w:t xml:space="preserve"> </w:t>
      </w:r>
    </w:p>
    <w:p w14:paraId="22761EF3" w14:textId="77777777" w:rsidR="00C93C89" w:rsidRPr="00BC79DB" w:rsidRDefault="00C93C89" w:rsidP="00C93C89">
      <w:pPr>
        <w:pStyle w:val="Paragraphedeliste"/>
        <w:numPr>
          <w:ilvl w:val="0"/>
          <w:numId w:val="18"/>
        </w:numPr>
        <w:jc w:val="both"/>
        <w:rPr>
          <w:rFonts w:ascii="Arial" w:hAnsi="Arial" w:cs="Arial"/>
          <w:sz w:val="20"/>
          <w:szCs w:val="20"/>
          <w:lang w:val="en-GB"/>
        </w:rPr>
      </w:pPr>
      <w:r w:rsidRPr="00BC79DB">
        <w:rPr>
          <w:rFonts w:ascii="Arial" w:hAnsi="Arial" w:cs="Arial"/>
          <w:sz w:val="20"/>
          <w:szCs w:val="20"/>
          <w:lang w:val="en-GB"/>
        </w:rPr>
        <w:t>IP: analysis of the Freedom to Operate or eligibility for patent</w:t>
      </w:r>
    </w:p>
    <w:p w14:paraId="0D61FADE" w14:textId="77777777" w:rsidR="00C93C89" w:rsidRPr="00BC79DB" w:rsidRDefault="00C93C89" w:rsidP="00C93C89">
      <w:pPr>
        <w:pStyle w:val="Paragraphedeliste"/>
        <w:numPr>
          <w:ilvl w:val="0"/>
          <w:numId w:val="18"/>
        </w:numPr>
        <w:jc w:val="both"/>
        <w:rPr>
          <w:rFonts w:ascii="Arial" w:hAnsi="Arial" w:cs="Arial"/>
          <w:sz w:val="20"/>
          <w:szCs w:val="20"/>
          <w:lang w:val="en-GB"/>
        </w:rPr>
      </w:pPr>
      <w:r w:rsidRPr="00BC79DB">
        <w:rPr>
          <w:rFonts w:ascii="Arial" w:hAnsi="Arial" w:cs="Arial"/>
          <w:sz w:val="20"/>
          <w:szCs w:val="20"/>
          <w:lang w:val="en-GB"/>
        </w:rPr>
        <w:t>Implementation of all or some specifications regarding the design and/or adaptation of innovative products, processes and services</w:t>
      </w:r>
    </w:p>
    <w:p w14:paraId="2EB3A845" w14:textId="3A6CAA54" w:rsidR="00C93C89" w:rsidRPr="00BC79DB" w:rsidRDefault="00C93C89" w:rsidP="00C93C89">
      <w:pPr>
        <w:pStyle w:val="Paragraphedeliste"/>
        <w:numPr>
          <w:ilvl w:val="0"/>
          <w:numId w:val="18"/>
        </w:numPr>
        <w:jc w:val="both"/>
        <w:rPr>
          <w:rFonts w:ascii="Arial" w:hAnsi="Arial" w:cs="Arial"/>
          <w:sz w:val="20"/>
          <w:szCs w:val="20"/>
          <w:lang w:val="en-GB"/>
        </w:rPr>
      </w:pPr>
      <w:r w:rsidRPr="00BC79DB">
        <w:rPr>
          <w:rFonts w:ascii="Arial" w:hAnsi="Arial" w:cs="Arial"/>
          <w:sz w:val="20"/>
          <w:szCs w:val="20"/>
          <w:lang w:val="en-GB"/>
        </w:rPr>
        <w:t>Validation of an innovative process, product, or service (development of specific control methods, optimisation and validation of test protocols, implementation of analyses and reviews, etc.)</w:t>
      </w:r>
    </w:p>
    <w:p w14:paraId="5658885A" w14:textId="60A82C2D" w:rsidR="00C93C89" w:rsidRPr="00BC79DB" w:rsidRDefault="00C93C89" w:rsidP="00C93C89">
      <w:pPr>
        <w:pStyle w:val="Paragraphedeliste"/>
        <w:numPr>
          <w:ilvl w:val="0"/>
          <w:numId w:val="18"/>
        </w:numPr>
        <w:jc w:val="both"/>
        <w:rPr>
          <w:rFonts w:ascii="Arial" w:hAnsi="Arial" w:cs="Arial"/>
          <w:sz w:val="20"/>
          <w:szCs w:val="20"/>
          <w:lang w:val="en-GB"/>
        </w:rPr>
      </w:pPr>
      <w:r w:rsidRPr="00BC79DB">
        <w:rPr>
          <w:rFonts w:ascii="Arial" w:hAnsi="Arial" w:cs="Arial"/>
          <w:sz w:val="20"/>
          <w:szCs w:val="20"/>
          <w:lang w:val="en-GB"/>
        </w:rPr>
        <w:t>Creation of "proof of concept"</w:t>
      </w:r>
    </w:p>
    <w:p w14:paraId="1BBC3558" w14:textId="6B876C7E" w:rsidR="00BE5856" w:rsidRPr="00BC79DB" w:rsidRDefault="00C93C89" w:rsidP="002F1A89">
      <w:pPr>
        <w:jc w:val="both"/>
        <w:rPr>
          <w:rFonts w:ascii="Arial" w:hAnsi="Arial" w:cs="Arial"/>
          <w:b/>
          <w:bCs/>
          <w:sz w:val="20"/>
          <w:szCs w:val="20"/>
          <w:lang w:val="en-GB"/>
        </w:rPr>
      </w:pPr>
      <w:r w:rsidRPr="00BC79DB">
        <w:rPr>
          <w:rFonts w:ascii="Arial" w:hAnsi="Arial" w:cs="Arial"/>
          <w:b/>
          <w:bCs/>
          <w:sz w:val="20"/>
          <w:szCs w:val="20"/>
          <w:lang w:val="en-GB"/>
        </w:rPr>
        <w:t>Pre-manufacturing phase</w:t>
      </w:r>
      <w:r w:rsidR="00695F13" w:rsidRPr="00BC79DB">
        <w:rPr>
          <w:rFonts w:ascii="Arial" w:hAnsi="Arial" w:cs="Arial"/>
          <w:b/>
          <w:bCs/>
          <w:sz w:val="20"/>
          <w:szCs w:val="20"/>
          <w:lang w:val="en-GB"/>
        </w:rPr>
        <w:t xml:space="preserve"> </w:t>
      </w:r>
    </w:p>
    <w:p w14:paraId="193F4C3C" w14:textId="77777777" w:rsidR="00C93C89" w:rsidRPr="00BC79DB" w:rsidRDefault="00C93C89" w:rsidP="00C93C89">
      <w:pPr>
        <w:pStyle w:val="Paragraphedeliste"/>
        <w:numPr>
          <w:ilvl w:val="0"/>
          <w:numId w:val="20"/>
        </w:numPr>
        <w:jc w:val="both"/>
        <w:rPr>
          <w:rFonts w:ascii="Arial" w:hAnsi="Arial" w:cs="Arial"/>
          <w:sz w:val="20"/>
          <w:szCs w:val="20"/>
          <w:lang w:val="en-GB"/>
        </w:rPr>
      </w:pPr>
      <w:r w:rsidRPr="00BC79DB">
        <w:rPr>
          <w:rFonts w:ascii="Arial" w:hAnsi="Arial" w:cs="Arial"/>
          <w:sz w:val="20"/>
          <w:szCs w:val="20"/>
          <w:lang w:val="en-GB"/>
        </w:rPr>
        <w:t>State of the art selection, best suited to specifications (standard of product components, standard of production and manufacturing)</w:t>
      </w:r>
    </w:p>
    <w:p w14:paraId="3BB65AFD" w14:textId="77777777" w:rsidR="00C93C89" w:rsidRPr="00BC79DB" w:rsidRDefault="00C93C89" w:rsidP="00C93C89">
      <w:pPr>
        <w:pStyle w:val="Paragraphedeliste"/>
        <w:numPr>
          <w:ilvl w:val="0"/>
          <w:numId w:val="20"/>
        </w:numPr>
        <w:jc w:val="both"/>
        <w:rPr>
          <w:rFonts w:ascii="Arial" w:hAnsi="Arial" w:cs="Arial"/>
          <w:sz w:val="20"/>
          <w:szCs w:val="20"/>
          <w:lang w:val="en-GB"/>
        </w:rPr>
      </w:pPr>
      <w:r w:rsidRPr="00BC79DB">
        <w:rPr>
          <w:rFonts w:ascii="Arial" w:hAnsi="Arial" w:cs="Arial"/>
          <w:sz w:val="20"/>
          <w:szCs w:val="20"/>
          <w:lang w:val="en-GB"/>
        </w:rPr>
        <w:t>Production of basic prototypes for the purpose of demonstrations</w:t>
      </w:r>
    </w:p>
    <w:p w14:paraId="27E79806" w14:textId="3D6786CA" w:rsidR="00C93C89" w:rsidRPr="00BC79DB" w:rsidRDefault="00C93C89" w:rsidP="00C93C89">
      <w:pPr>
        <w:pStyle w:val="Paragraphedeliste"/>
        <w:numPr>
          <w:ilvl w:val="0"/>
          <w:numId w:val="20"/>
        </w:numPr>
        <w:jc w:val="both"/>
        <w:rPr>
          <w:rFonts w:ascii="Arial" w:hAnsi="Arial" w:cs="Arial"/>
          <w:sz w:val="20"/>
          <w:szCs w:val="20"/>
          <w:lang w:val="en-GB"/>
        </w:rPr>
      </w:pPr>
      <w:r w:rsidRPr="00BC79DB">
        <w:rPr>
          <w:rFonts w:ascii="Arial" w:hAnsi="Arial" w:cs="Arial"/>
          <w:sz w:val="20"/>
          <w:szCs w:val="20"/>
          <w:lang w:val="en-GB"/>
        </w:rPr>
        <w:t>Completion of evaluation studies of the new products' life cycle and the impact of innovative processes, products, and services</w:t>
      </w:r>
    </w:p>
    <w:p w14:paraId="5893A79C" w14:textId="77777777" w:rsidR="00C93C89" w:rsidRPr="00BC79DB" w:rsidRDefault="00C93C89" w:rsidP="00C93C89">
      <w:pPr>
        <w:pStyle w:val="Paragraphedeliste"/>
        <w:numPr>
          <w:ilvl w:val="0"/>
          <w:numId w:val="20"/>
        </w:numPr>
        <w:jc w:val="both"/>
        <w:rPr>
          <w:rFonts w:ascii="Arial" w:hAnsi="Arial" w:cs="Arial"/>
          <w:sz w:val="20"/>
          <w:szCs w:val="20"/>
          <w:lang w:val="en-GB"/>
        </w:rPr>
      </w:pPr>
      <w:r w:rsidRPr="00BC79DB">
        <w:rPr>
          <w:rFonts w:ascii="Arial" w:hAnsi="Arial" w:cs="Arial"/>
          <w:sz w:val="20"/>
          <w:szCs w:val="20"/>
          <w:lang w:val="en-GB"/>
        </w:rPr>
        <w:t>Support for preparing industrialisation: drafting of specifications, in particular with a view to the design of production flow sheets and the technical installation diagram</w:t>
      </w:r>
    </w:p>
    <w:p w14:paraId="0ABEB5F4" w14:textId="2C079788" w:rsidR="00C93C89" w:rsidRDefault="00C93C89" w:rsidP="00C93C89">
      <w:pPr>
        <w:pStyle w:val="Paragraphedeliste"/>
        <w:numPr>
          <w:ilvl w:val="0"/>
          <w:numId w:val="20"/>
        </w:numPr>
        <w:jc w:val="both"/>
        <w:rPr>
          <w:rFonts w:ascii="Arial" w:hAnsi="Arial" w:cs="Arial"/>
          <w:sz w:val="20"/>
          <w:szCs w:val="20"/>
          <w:lang w:val="en-GB"/>
        </w:rPr>
      </w:pPr>
      <w:r w:rsidRPr="00BC79DB">
        <w:rPr>
          <w:rFonts w:ascii="Arial" w:hAnsi="Arial" w:cs="Arial"/>
          <w:sz w:val="20"/>
          <w:szCs w:val="20"/>
          <w:lang w:val="en-GB"/>
        </w:rPr>
        <w:t>Validation of production costs and estimation of an innovative product's margin</w:t>
      </w:r>
    </w:p>
    <w:p w14:paraId="38253970" w14:textId="071940E7" w:rsidR="00E21F43" w:rsidRPr="00E21F43" w:rsidRDefault="00E21F43" w:rsidP="00E21F43">
      <w:pPr>
        <w:rPr>
          <w:rFonts w:ascii="Arial" w:hAnsi="Arial" w:cs="Arial"/>
          <w:sz w:val="20"/>
          <w:szCs w:val="20"/>
          <w:lang w:val="en-GB"/>
        </w:rPr>
      </w:pPr>
      <w:r>
        <w:rPr>
          <w:rFonts w:ascii="Arial" w:hAnsi="Arial" w:cs="Arial"/>
          <w:sz w:val="20"/>
          <w:szCs w:val="20"/>
          <w:lang w:val="en-GB"/>
        </w:rPr>
        <w:br w:type="page"/>
      </w:r>
    </w:p>
    <w:p w14:paraId="0D6F3567" w14:textId="1200823B" w:rsidR="00BE5856" w:rsidRPr="00E21F43" w:rsidRDefault="00C93C89" w:rsidP="002F1A89">
      <w:pPr>
        <w:jc w:val="both"/>
        <w:rPr>
          <w:rFonts w:ascii="Arial" w:hAnsi="Arial" w:cs="Arial"/>
          <w:b/>
          <w:bCs/>
          <w:color w:val="004586"/>
          <w:sz w:val="28"/>
          <w:szCs w:val="28"/>
          <w:lang w:val="en-GB"/>
        </w:rPr>
      </w:pPr>
      <w:r w:rsidRPr="00E21F43">
        <w:rPr>
          <w:rFonts w:ascii="Arial" w:hAnsi="Arial" w:cs="Arial"/>
          <w:b/>
          <w:bCs/>
          <w:color w:val="004586"/>
          <w:sz w:val="28"/>
          <w:szCs w:val="28"/>
          <w:lang w:val="en-GB"/>
        </w:rPr>
        <w:lastRenderedPageBreak/>
        <w:t>Procedure</w:t>
      </w:r>
      <w:r w:rsidR="00BE5856" w:rsidRPr="00E21F43">
        <w:rPr>
          <w:rFonts w:ascii="Arial" w:hAnsi="Arial" w:cs="Arial"/>
          <w:b/>
          <w:bCs/>
          <w:color w:val="004586"/>
          <w:sz w:val="28"/>
          <w:szCs w:val="28"/>
          <w:lang w:val="en-GB"/>
        </w:rPr>
        <w:t xml:space="preserve"> </w:t>
      </w:r>
    </w:p>
    <w:p w14:paraId="7EBB1EA0" w14:textId="6CC97A01" w:rsidR="00B07CB8" w:rsidRPr="00BC79DB" w:rsidRDefault="00C93C89" w:rsidP="002F1A89">
      <w:pPr>
        <w:jc w:val="both"/>
        <w:rPr>
          <w:rFonts w:ascii="Arial" w:hAnsi="Arial" w:cs="Arial"/>
          <w:sz w:val="20"/>
          <w:szCs w:val="20"/>
          <w:lang w:val="en-GB"/>
        </w:rPr>
      </w:pPr>
      <w:r w:rsidRPr="00BC79DB">
        <w:rPr>
          <w:rFonts w:ascii="Arial" w:hAnsi="Arial" w:cs="Arial"/>
          <w:sz w:val="20"/>
          <w:szCs w:val="20"/>
          <w:lang w:val="en-GB"/>
        </w:rPr>
        <w:t>In order for an application to be admissible, it must be submitted before the start of the activities</w:t>
      </w:r>
      <w:r w:rsidR="00695F13" w:rsidRPr="00BC79DB">
        <w:rPr>
          <w:rFonts w:ascii="Arial" w:hAnsi="Arial" w:cs="Arial"/>
          <w:sz w:val="20"/>
          <w:szCs w:val="20"/>
          <w:lang w:val="en-GB"/>
        </w:rPr>
        <w:t xml:space="preserve">. </w:t>
      </w:r>
    </w:p>
    <w:p w14:paraId="36803BF0" w14:textId="029B7429" w:rsidR="00B3751E" w:rsidRPr="00BC79DB" w:rsidRDefault="00B3751E" w:rsidP="002F1A89">
      <w:pPr>
        <w:jc w:val="both"/>
        <w:rPr>
          <w:rFonts w:ascii="Arial" w:hAnsi="Arial" w:cs="Arial"/>
          <w:sz w:val="20"/>
          <w:szCs w:val="20"/>
          <w:lang w:val="en-GB"/>
        </w:rPr>
      </w:pPr>
      <w:r w:rsidRPr="00BC79DB">
        <w:rPr>
          <w:rFonts w:ascii="Arial" w:hAnsi="Arial" w:cs="Arial"/>
          <w:sz w:val="20"/>
          <w:szCs w:val="20"/>
          <w:lang w:val="en-GB"/>
        </w:rPr>
        <w:t>The application form, provided by Innoviris, shall be completed jointly by the sponsor and the service provider. The application is submitted electronically to Innoviris (</w:t>
      </w:r>
      <w:proofErr w:type="spellStart"/>
      <w:r w:rsidRPr="00BC79DB">
        <w:rPr>
          <w:rFonts w:ascii="Arial" w:hAnsi="Arial" w:cs="Arial"/>
          <w:sz w:val="20"/>
          <w:szCs w:val="20"/>
          <w:lang w:val="en-GB"/>
        </w:rPr>
        <w:t>fundingrequest@innoviris.brussels</w:t>
      </w:r>
      <w:proofErr w:type="spellEnd"/>
      <w:r w:rsidRPr="00BC79DB">
        <w:rPr>
          <w:rFonts w:ascii="Arial" w:hAnsi="Arial" w:cs="Arial"/>
          <w:sz w:val="20"/>
          <w:szCs w:val="20"/>
          <w:lang w:val="en-GB"/>
        </w:rPr>
        <w:t xml:space="preserve">, CC to </w:t>
      </w:r>
      <w:hyperlink r:id="rId10" w:history="1">
        <w:r w:rsidRPr="00BC79DB">
          <w:rPr>
            <w:rStyle w:val="Lienhypertexte"/>
            <w:rFonts w:ascii="Arial" w:hAnsi="Arial" w:cs="Arial"/>
            <w:sz w:val="20"/>
            <w:szCs w:val="20"/>
            <w:lang w:val="en-GB"/>
          </w:rPr>
          <w:t>dlittre@innoviris.brussels</w:t>
        </w:r>
      </w:hyperlink>
      <w:r w:rsidRPr="00BC79DB">
        <w:rPr>
          <w:rFonts w:ascii="Arial" w:hAnsi="Arial" w:cs="Arial"/>
          <w:sz w:val="20"/>
          <w:szCs w:val="20"/>
          <w:lang w:val="en-GB"/>
        </w:rPr>
        <w:t xml:space="preserve">). </w:t>
      </w:r>
    </w:p>
    <w:p w14:paraId="3EE4C930" w14:textId="77777777" w:rsidR="00B3751E" w:rsidRPr="00BC79DB" w:rsidRDefault="00B3751E" w:rsidP="002F1A89">
      <w:pPr>
        <w:jc w:val="both"/>
        <w:rPr>
          <w:rFonts w:ascii="Arial" w:hAnsi="Arial" w:cs="Arial"/>
          <w:sz w:val="20"/>
          <w:szCs w:val="20"/>
          <w:lang w:val="en-GB"/>
        </w:rPr>
      </w:pPr>
      <w:r w:rsidRPr="00BC79DB">
        <w:rPr>
          <w:rFonts w:ascii="Arial" w:hAnsi="Arial" w:cs="Arial"/>
          <w:sz w:val="20"/>
          <w:szCs w:val="20"/>
          <w:lang w:val="en-GB"/>
        </w:rPr>
        <w:t xml:space="preserve">For optimal processing of the application, the message subject line should follow this model: </w:t>
      </w:r>
    </w:p>
    <w:p w14:paraId="338C5075" w14:textId="5610406C" w:rsidR="00B3751E" w:rsidRPr="00BC79DB" w:rsidRDefault="00B3751E" w:rsidP="002F1A89">
      <w:pPr>
        <w:jc w:val="both"/>
        <w:rPr>
          <w:rFonts w:ascii="Arial" w:hAnsi="Arial" w:cs="Arial"/>
          <w:sz w:val="20"/>
          <w:szCs w:val="20"/>
          <w:lang w:val="en-GB"/>
        </w:rPr>
      </w:pPr>
      <w:r w:rsidRPr="00BC79DB">
        <w:rPr>
          <w:rFonts w:ascii="Arial" w:hAnsi="Arial" w:cs="Arial"/>
          <w:sz w:val="20"/>
          <w:szCs w:val="20"/>
          <w:lang w:val="en-GB"/>
        </w:rPr>
        <w:t xml:space="preserve">'[INNOVATION VOUCHERS] [Name of Provider] Application form - NAME OF COMPANY'. </w:t>
      </w:r>
      <w:r w:rsidR="00BC79DB" w:rsidRPr="00BC79DB">
        <w:rPr>
          <w:rFonts w:ascii="Arial" w:hAnsi="Arial" w:cs="Arial"/>
          <w:sz w:val="20"/>
          <w:szCs w:val="20"/>
          <w:lang w:val="en-GB"/>
        </w:rPr>
        <w:t>E.g.:</w:t>
      </w:r>
      <w:r w:rsidRPr="00BC79DB">
        <w:rPr>
          <w:rFonts w:ascii="Arial" w:hAnsi="Arial" w:cs="Arial"/>
          <w:sz w:val="20"/>
          <w:szCs w:val="20"/>
          <w:lang w:val="en-GB"/>
        </w:rPr>
        <w:t xml:space="preserve"> '[INNOVATION VOUCHERS] [Centre XYZ] Application form – Company Ltd. '</w:t>
      </w:r>
    </w:p>
    <w:p w14:paraId="2C3D95CE" w14:textId="25DC9172" w:rsidR="00B07CB8" w:rsidRPr="00BC79DB" w:rsidRDefault="00B3751E" w:rsidP="002F1A89">
      <w:pPr>
        <w:jc w:val="both"/>
        <w:rPr>
          <w:rFonts w:ascii="Arial" w:hAnsi="Arial" w:cs="Arial"/>
          <w:sz w:val="20"/>
          <w:szCs w:val="20"/>
          <w:lang w:val="en-GB"/>
        </w:rPr>
      </w:pPr>
      <w:r w:rsidRPr="00BC79DB">
        <w:rPr>
          <w:rFonts w:ascii="Arial" w:hAnsi="Arial" w:cs="Arial"/>
          <w:sz w:val="20"/>
          <w:szCs w:val="20"/>
          <w:lang w:val="en-GB"/>
        </w:rPr>
        <w:t>A copy of the collaboration agreement between the sponsor and service provider should also be attached to this message. This agreement addresses, among other things, questions about the intellectual property of the results.</w:t>
      </w:r>
    </w:p>
    <w:p w14:paraId="19C48B19" w14:textId="157CBF58" w:rsidR="00B3751E" w:rsidRPr="00BC79DB" w:rsidRDefault="00B3751E" w:rsidP="002F1A89">
      <w:pPr>
        <w:jc w:val="both"/>
        <w:rPr>
          <w:rFonts w:ascii="Arial" w:hAnsi="Arial" w:cs="Arial"/>
          <w:sz w:val="20"/>
          <w:szCs w:val="20"/>
          <w:lang w:val="en-GB"/>
        </w:rPr>
      </w:pPr>
      <w:r w:rsidRPr="00BC79DB">
        <w:rPr>
          <w:rFonts w:ascii="Arial" w:hAnsi="Arial" w:cs="Arial"/>
          <w:sz w:val="20"/>
          <w:szCs w:val="20"/>
          <w:lang w:val="en-GB"/>
        </w:rPr>
        <w:t>If a copy of the model agreement has already been sent at the time of submission of the request for approval, it is not necessary to send another copy unless there have been modifications.</w:t>
      </w:r>
    </w:p>
    <w:p w14:paraId="31FC5AE4" w14:textId="6B3F85E9" w:rsidR="004666B3" w:rsidRPr="00BC79DB" w:rsidRDefault="00B3751E" w:rsidP="002F1A89">
      <w:pPr>
        <w:jc w:val="both"/>
        <w:rPr>
          <w:rFonts w:ascii="Arial" w:hAnsi="Arial" w:cs="Arial"/>
          <w:sz w:val="20"/>
          <w:szCs w:val="20"/>
          <w:lang w:val="en-GB"/>
        </w:rPr>
      </w:pPr>
      <w:r w:rsidRPr="00BC79DB">
        <w:rPr>
          <w:rFonts w:ascii="Arial" w:hAnsi="Arial" w:cs="Arial"/>
          <w:sz w:val="20"/>
          <w:szCs w:val="20"/>
          <w:lang w:val="en-GB"/>
        </w:rPr>
        <w:t>The application shall not be considered admissible unless the form is submitted duly completed and accompanied by the required de minimis declaration and a copy of the collaboration agreement. It is evaluated against different criteria, such as matching activities and budget, innovative nature, valorisation prospects or the potential impact of this valorisation on the Region. This analysis will be carried out at Innoviris within 8 working days from the date of reception of the application</w:t>
      </w:r>
      <w:r w:rsidR="00695F13" w:rsidRPr="00BC79DB">
        <w:rPr>
          <w:rFonts w:ascii="Arial" w:hAnsi="Arial" w:cs="Arial"/>
          <w:sz w:val="20"/>
          <w:szCs w:val="20"/>
          <w:lang w:val="en-GB"/>
        </w:rPr>
        <w:t xml:space="preserve">. </w:t>
      </w:r>
    </w:p>
    <w:p w14:paraId="18DE5EA7" w14:textId="77777777" w:rsidR="00B3751E" w:rsidRPr="00BC79DB" w:rsidRDefault="00B3751E" w:rsidP="002F1A89">
      <w:pPr>
        <w:jc w:val="both"/>
        <w:rPr>
          <w:rFonts w:ascii="Arial" w:hAnsi="Arial" w:cs="Arial"/>
          <w:sz w:val="20"/>
          <w:szCs w:val="20"/>
          <w:lang w:val="en-GB"/>
        </w:rPr>
      </w:pPr>
      <w:r w:rsidRPr="00BC79DB">
        <w:rPr>
          <w:rFonts w:ascii="Arial" w:hAnsi="Arial" w:cs="Arial"/>
          <w:sz w:val="20"/>
          <w:szCs w:val="20"/>
          <w:lang w:val="en-GB"/>
        </w:rPr>
        <w:t>At the end of the study, the service provider must provide Innoviris with the control sheet containing a summary of the results obtained, their critical analysis and the report which is to be sent to the company.</w:t>
      </w:r>
    </w:p>
    <w:p w14:paraId="4582935C" w14:textId="6EDB9A3C" w:rsidR="00B3751E" w:rsidRDefault="00B3751E" w:rsidP="002F1A89">
      <w:pPr>
        <w:jc w:val="both"/>
        <w:rPr>
          <w:rFonts w:ascii="Arial" w:hAnsi="Arial" w:cs="Arial"/>
          <w:sz w:val="20"/>
          <w:szCs w:val="20"/>
          <w:lang w:val="en-GB"/>
        </w:rPr>
      </w:pPr>
      <w:r w:rsidRPr="00BC79DB">
        <w:rPr>
          <w:rFonts w:ascii="Arial" w:hAnsi="Arial" w:cs="Arial"/>
          <w:sz w:val="20"/>
          <w:szCs w:val="20"/>
          <w:lang w:val="en-GB"/>
        </w:rPr>
        <w:t>Sponsors may also be required to reveal to Innoviris the results of studies commissioned by them.</w:t>
      </w:r>
    </w:p>
    <w:p w14:paraId="79B8D219" w14:textId="77777777" w:rsidR="00E21F43" w:rsidRPr="00BC79DB" w:rsidRDefault="00E21F43" w:rsidP="002F1A89">
      <w:pPr>
        <w:jc w:val="both"/>
        <w:rPr>
          <w:rFonts w:ascii="Arial" w:hAnsi="Arial" w:cs="Arial"/>
          <w:sz w:val="20"/>
          <w:szCs w:val="20"/>
          <w:lang w:val="en-GB"/>
        </w:rPr>
      </w:pPr>
    </w:p>
    <w:p w14:paraId="76C0E98B" w14:textId="6229F616" w:rsidR="004666B3" w:rsidRPr="00E21F43" w:rsidRDefault="00B3751E" w:rsidP="002F1A89">
      <w:pPr>
        <w:jc w:val="both"/>
        <w:rPr>
          <w:rFonts w:ascii="Arial" w:hAnsi="Arial" w:cs="Arial"/>
          <w:b/>
          <w:bCs/>
          <w:color w:val="004586"/>
          <w:sz w:val="28"/>
          <w:szCs w:val="28"/>
          <w:lang w:val="en-GB"/>
        </w:rPr>
      </w:pPr>
      <w:r w:rsidRPr="00E21F43">
        <w:rPr>
          <w:rFonts w:ascii="Arial" w:hAnsi="Arial" w:cs="Arial"/>
          <w:b/>
          <w:bCs/>
          <w:color w:val="004586"/>
          <w:sz w:val="28"/>
          <w:szCs w:val="28"/>
          <w:lang w:val="en-GB"/>
        </w:rPr>
        <w:t>Subsidy payment</w:t>
      </w:r>
    </w:p>
    <w:p w14:paraId="5D58816D" w14:textId="3323B300" w:rsidR="00B3751E" w:rsidRDefault="00B3751E" w:rsidP="002F1A89">
      <w:pPr>
        <w:jc w:val="both"/>
        <w:rPr>
          <w:rFonts w:ascii="Arial" w:hAnsi="Arial" w:cs="Arial"/>
          <w:sz w:val="20"/>
          <w:szCs w:val="20"/>
          <w:lang w:val="en-GB"/>
        </w:rPr>
      </w:pPr>
      <w:r w:rsidRPr="00BC79DB">
        <w:rPr>
          <w:rFonts w:ascii="Arial" w:hAnsi="Arial" w:cs="Arial"/>
          <w:sz w:val="20"/>
          <w:szCs w:val="20"/>
          <w:lang w:val="en-GB"/>
        </w:rPr>
        <w:t>The subsidy payment will be made in one instalment, following reception and confirmation by Innoviris of the control sheet, the report sent to the company, a copy of the invoice issued by the provider to the sponsor, and a debt obligation note issued by the sponsor</w:t>
      </w:r>
    </w:p>
    <w:p w14:paraId="7B96C38A" w14:textId="77777777" w:rsidR="00E21F43" w:rsidRPr="00BC79DB" w:rsidRDefault="00E21F43" w:rsidP="002F1A89">
      <w:pPr>
        <w:jc w:val="both"/>
        <w:rPr>
          <w:rFonts w:ascii="Arial" w:hAnsi="Arial" w:cs="Arial"/>
          <w:sz w:val="20"/>
          <w:szCs w:val="20"/>
          <w:lang w:val="en-GB"/>
        </w:rPr>
      </w:pPr>
    </w:p>
    <w:p w14:paraId="35424287" w14:textId="5621B739" w:rsidR="00B6565C" w:rsidRPr="00E21F43" w:rsidRDefault="00B3751E" w:rsidP="002F1A89">
      <w:pPr>
        <w:jc w:val="both"/>
        <w:rPr>
          <w:rFonts w:ascii="Arial" w:hAnsi="Arial" w:cs="Arial"/>
          <w:color w:val="004586"/>
          <w:sz w:val="28"/>
          <w:szCs w:val="28"/>
          <w:lang w:val="en-GB"/>
        </w:rPr>
      </w:pPr>
      <w:r w:rsidRPr="00E21F43">
        <w:rPr>
          <w:rFonts w:ascii="Arial" w:hAnsi="Arial" w:cs="Arial"/>
          <w:b/>
          <w:bCs/>
          <w:color w:val="004586"/>
          <w:sz w:val="28"/>
          <w:szCs w:val="28"/>
          <w:lang w:val="en-GB"/>
        </w:rPr>
        <w:t>Information and forms</w:t>
      </w:r>
    </w:p>
    <w:p w14:paraId="7CD6CE8D" w14:textId="77777777" w:rsidR="00B3751E" w:rsidRPr="00BC79DB" w:rsidRDefault="00B3751E" w:rsidP="002F1A89">
      <w:pPr>
        <w:jc w:val="both"/>
        <w:rPr>
          <w:rFonts w:ascii="Arial" w:hAnsi="Arial" w:cs="Arial"/>
          <w:sz w:val="20"/>
          <w:szCs w:val="20"/>
          <w:lang w:val="en-GB"/>
        </w:rPr>
      </w:pPr>
      <w:r w:rsidRPr="00BC79DB">
        <w:rPr>
          <w:rFonts w:ascii="Arial" w:hAnsi="Arial" w:cs="Arial"/>
          <w:sz w:val="20"/>
          <w:szCs w:val="20"/>
          <w:lang w:val="en-GB"/>
        </w:rPr>
        <w:t xml:space="preserve">Any additional information can be obtained through: </w:t>
      </w:r>
    </w:p>
    <w:p w14:paraId="506AD606" w14:textId="2CB6D359" w:rsidR="00B6565C" w:rsidRPr="00BC79DB" w:rsidRDefault="00B3751E" w:rsidP="002F1A89">
      <w:pPr>
        <w:jc w:val="both"/>
        <w:rPr>
          <w:rFonts w:ascii="Arial" w:hAnsi="Arial" w:cs="Arial"/>
          <w:sz w:val="20"/>
          <w:szCs w:val="20"/>
          <w:lang w:val="en-GB"/>
        </w:rPr>
      </w:pPr>
      <w:r w:rsidRPr="00BC79DB">
        <w:rPr>
          <w:rFonts w:ascii="Arial" w:hAnsi="Arial" w:cs="Arial"/>
          <w:sz w:val="20"/>
          <w:szCs w:val="20"/>
          <w:lang w:val="en-GB"/>
        </w:rPr>
        <w:t>Innoviris, Brussels Institute for Research and Innovation</w:t>
      </w:r>
    </w:p>
    <w:p w14:paraId="42A73B83" w14:textId="01EAEF24" w:rsidR="00B6565C" w:rsidRPr="00E21F43" w:rsidRDefault="00B6565C" w:rsidP="002F1A89">
      <w:pPr>
        <w:jc w:val="both"/>
        <w:rPr>
          <w:rFonts w:ascii="Arial" w:hAnsi="Arial" w:cs="Arial"/>
          <w:sz w:val="20"/>
          <w:szCs w:val="20"/>
        </w:rPr>
      </w:pPr>
      <w:r w:rsidRPr="00E21F43">
        <w:rPr>
          <w:rFonts w:ascii="Arial" w:hAnsi="Arial" w:cs="Arial"/>
          <w:sz w:val="20"/>
          <w:szCs w:val="20"/>
        </w:rPr>
        <w:t>Chaussée de Charleroi 110 1060 Bru</w:t>
      </w:r>
      <w:r w:rsidR="00B3751E" w:rsidRPr="00E21F43">
        <w:rPr>
          <w:rFonts w:ascii="Arial" w:hAnsi="Arial" w:cs="Arial"/>
          <w:sz w:val="20"/>
          <w:szCs w:val="20"/>
        </w:rPr>
        <w:t>ssels</w:t>
      </w:r>
    </w:p>
    <w:p w14:paraId="12F2F809" w14:textId="597B921C" w:rsidR="00B6565C" w:rsidRPr="00E21F43" w:rsidRDefault="00695F13" w:rsidP="002F1A89">
      <w:pPr>
        <w:jc w:val="both"/>
        <w:rPr>
          <w:rFonts w:ascii="Arial" w:hAnsi="Arial" w:cs="Arial"/>
          <w:sz w:val="20"/>
          <w:szCs w:val="20"/>
        </w:rPr>
      </w:pPr>
      <w:r w:rsidRPr="00E21F43">
        <w:rPr>
          <w:rFonts w:ascii="Arial" w:hAnsi="Arial" w:cs="Arial"/>
          <w:sz w:val="20"/>
          <w:szCs w:val="20"/>
        </w:rPr>
        <w:t xml:space="preserve">Vincent Martzloff (VM) &amp; Nicolas Vautrin (NV) </w:t>
      </w:r>
    </w:p>
    <w:p w14:paraId="1027FF92" w14:textId="02991D09" w:rsidR="00B6565C" w:rsidRPr="00BC79DB" w:rsidRDefault="00695F13" w:rsidP="002F1A89">
      <w:pPr>
        <w:jc w:val="both"/>
        <w:rPr>
          <w:rFonts w:ascii="Arial" w:hAnsi="Arial" w:cs="Arial"/>
          <w:sz w:val="20"/>
          <w:szCs w:val="20"/>
          <w:lang w:val="en-GB"/>
        </w:rPr>
      </w:pPr>
      <w:r w:rsidRPr="00BC79DB">
        <w:rPr>
          <w:rFonts w:ascii="Arial" w:hAnsi="Arial" w:cs="Arial"/>
          <w:sz w:val="20"/>
          <w:szCs w:val="20"/>
          <w:lang w:val="en-GB"/>
        </w:rPr>
        <w:t xml:space="preserve">Tel.: 02/600 50 41 (VM) </w:t>
      </w:r>
      <w:r w:rsidR="00B3751E" w:rsidRPr="00BC79DB">
        <w:rPr>
          <w:rFonts w:ascii="Arial" w:hAnsi="Arial" w:cs="Arial"/>
          <w:sz w:val="20"/>
          <w:szCs w:val="20"/>
          <w:lang w:val="en-GB"/>
        </w:rPr>
        <w:t>and</w:t>
      </w:r>
      <w:r w:rsidRPr="00BC79DB">
        <w:rPr>
          <w:rFonts w:ascii="Arial" w:hAnsi="Arial" w:cs="Arial"/>
          <w:sz w:val="20"/>
          <w:szCs w:val="20"/>
          <w:lang w:val="en-GB"/>
        </w:rPr>
        <w:t xml:space="preserve"> 02/600 50 26 (NV)</w:t>
      </w:r>
    </w:p>
    <w:p w14:paraId="289A08FB" w14:textId="390177D8" w:rsidR="00B6565C" w:rsidRPr="00BC79DB" w:rsidRDefault="00E2234B" w:rsidP="002F1A89">
      <w:pPr>
        <w:jc w:val="both"/>
        <w:rPr>
          <w:rFonts w:ascii="Arial" w:hAnsi="Arial" w:cs="Arial"/>
          <w:sz w:val="20"/>
          <w:szCs w:val="20"/>
          <w:lang w:val="en-GB"/>
        </w:rPr>
      </w:pPr>
      <w:r w:rsidRPr="00BC79DB">
        <w:rPr>
          <w:rFonts w:ascii="Arial" w:hAnsi="Arial" w:cs="Arial"/>
          <w:sz w:val="20"/>
          <w:szCs w:val="20"/>
          <w:lang w:val="en-GB"/>
        </w:rPr>
        <w:t>E-mail:</w:t>
      </w:r>
      <w:r w:rsidR="00695F13" w:rsidRPr="00BC79DB">
        <w:rPr>
          <w:rFonts w:ascii="Arial" w:hAnsi="Arial" w:cs="Arial"/>
          <w:sz w:val="20"/>
          <w:szCs w:val="20"/>
          <w:lang w:val="en-GB"/>
        </w:rPr>
        <w:t xml:space="preserve"> </w:t>
      </w:r>
      <w:hyperlink r:id="rId11" w:history="1">
        <w:r w:rsidR="00B6565C" w:rsidRPr="00BC79DB">
          <w:rPr>
            <w:rStyle w:val="Lienhypertexte"/>
            <w:rFonts w:ascii="Arial" w:hAnsi="Arial" w:cs="Arial"/>
            <w:sz w:val="20"/>
            <w:szCs w:val="20"/>
            <w:lang w:val="en-GB"/>
          </w:rPr>
          <w:t>vmartzloff@innoviris.brussels</w:t>
        </w:r>
      </w:hyperlink>
      <w:r w:rsidR="00B6565C" w:rsidRPr="00BC79DB">
        <w:rPr>
          <w:rFonts w:ascii="Arial" w:hAnsi="Arial" w:cs="Arial"/>
          <w:sz w:val="20"/>
          <w:szCs w:val="20"/>
          <w:lang w:val="en-GB"/>
        </w:rPr>
        <w:t xml:space="preserve"> </w:t>
      </w:r>
      <w:r w:rsidR="00B3751E" w:rsidRPr="00BC79DB">
        <w:rPr>
          <w:rFonts w:ascii="Arial" w:hAnsi="Arial" w:cs="Arial"/>
          <w:sz w:val="20"/>
          <w:szCs w:val="20"/>
          <w:lang w:val="en-GB"/>
        </w:rPr>
        <w:t>and</w:t>
      </w:r>
      <w:r w:rsidR="00695F13" w:rsidRPr="00BC79DB">
        <w:rPr>
          <w:rFonts w:ascii="Arial" w:hAnsi="Arial" w:cs="Arial"/>
          <w:sz w:val="20"/>
          <w:szCs w:val="20"/>
          <w:lang w:val="en-GB"/>
        </w:rPr>
        <w:t xml:space="preserve"> </w:t>
      </w:r>
      <w:hyperlink r:id="rId12" w:history="1">
        <w:r w:rsidR="00B6565C" w:rsidRPr="00BC79DB">
          <w:rPr>
            <w:rStyle w:val="Lienhypertexte"/>
            <w:rFonts w:ascii="Arial" w:hAnsi="Arial" w:cs="Arial"/>
            <w:sz w:val="20"/>
            <w:szCs w:val="20"/>
            <w:lang w:val="en-GB"/>
          </w:rPr>
          <w:t>nvautrin@innoviris.brussels</w:t>
        </w:r>
      </w:hyperlink>
      <w:r w:rsidR="00695F13" w:rsidRPr="00BC79DB">
        <w:rPr>
          <w:rFonts w:ascii="Arial" w:hAnsi="Arial" w:cs="Arial"/>
          <w:sz w:val="20"/>
          <w:szCs w:val="20"/>
          <w:lang w:val="en-GB"/>
        </w:rPr>
        <w:t xml:space="preserve"> </w:t>
      </w:r>
    </w:p>
    <w:p w14:paraId="16873198" w14:textId="5854C0B4" w:rsidR="00C71565" w:rsidRPr="00BC79DB" w:rsidRDefault="00B3751E" w:rsidP="002F1A89">
      <w:pPr>
        <w:jc w:val="both"/>
        <w:rPr>
          <w:rFonts w:ascii="Arial" w:hAnsi="Arial" w:cs="Arial"/>
          <w:sz w:val="20"/>
          <w:szCs w:val="20"/>
          <w:lang w:val="en-GB"/>
        </w:rPr>
      </w:pPr>
      <w:r w:rsidRPr="00BC79DB">
        <w:rPr>
          <w:rFonts w:ascii="Arial" w:hAnsi="Arial" w:cs="Arial"/>
          <w:sz w:val="20"/>
          <w:szCs w:val="20"/>
          <w:lang w:val="en-GB"/>
        </w:rPr>
        <w:t xml:space="preserve">The form and regulations are available on the website </w:t>
      </w:r>
      <w:hyperlink r:id="rId13" w:history="1">
        <w:r w:rsidR="00B6565C" w:rsidRPr="00BC79DB">
          <w:rPr>
            <w:rStyle w:val="Lienhypertexte"/>
            <w:rFonts w:ascii="Arial" w:hAnsi="Arial" w:cs="Arial"/>
            <w:sz w:val="20"/>
            <w:szCs w:val="20"/>
            <w:lang w:val="en-GB"/>
          </w:rPr>
          <w:t>www.innoviris.brussels</w:t>
        </w:r>
      </w:hyperlink>
      <w:r w:rsidR="00B6565C" w:rsidRPr="00BC79DB">
        <w:rPr>
          <w:rFonts w:ascii="Arial" w:hAnsi="Arial" w:cs="Arial"/>
          <w:sz w:val="20"/>
          <w:szCs w:val="20"/>
          <w:lang w:val="en-GB"/>
        </w:rPr>
        <w:t xml:space="preserve"> </w:t>
      </w:r>
    </w:p>
    <w:p w14:paraId="764272C1" w14:textId="086AE659" w:rsidR="0026210E" w:rsidRPr="00BC79DB" w:rsidRDefault="0026210E" w:rsidP="00C20B1A">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val="en-GB" w:eastAsia="zh-CN" w:bidi="hi-IN"/>
        </w:rPr>
      </w:pPr>
    </w:p>
    <w:sectPr w:rsidR="0026210E" w:rsidRPr="00BC79DB">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202F" w14:textId="77777777" w:rsidR="00E66F23" w:rsidRDefault="00E66F23" w:rsidP="00300383">
      <w:pPr>
        <w:spacing w:after="0" w:line="240" w:lineRule="auto"/>
      </w:pPr>
      <w:r>
        <w:separator/>
      </w:r>
    </w:p>
  </w:endnote>
  <w:endnote w:type="continuationSeparator" w:id="0">
    <w:p w14:paraId="70CAD393" w14:textId="77777777" w:rsidR="00E66F23" w:rsidRDefault="00E66F23" w:rsidP="00300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2AEB" w14:textId="49DF0E2C" w:rsidR="00B66615" w:rsidRPr="00E21F43" w:rsidRDefault="00A13DBA" w:rsidP="00B66615">
    <w:pPr>
      <w:pStyle w:val="Pieddepage"/>
      <w:rPr>
        <w:rFonts w:ascii="Arial" w:hAnsi="Arial" w:cs="Arial"/>
        <w:sz w:val="16"/>
        <w:szCs w:val="16"/>
      </w:rPr>
    </w:pPr>
    <w:r w:rsidRPr="00E21F43">
      <w:rPr>
        <w:rFonts w:ascii="Arial" w:hAnsi="Arial" w:cs="Arial"/>
        <w:sz w:val="16"/>
        <w:szCs w:val="16"/>
      </w:rPr>
      <w:t>INNOVIRIS</w:t>
    </w:r>
  </w:p>
  <w:p w14:paraId="64C645B9" w14:textId="7F9D7BA8" w:rsidR="00B66615" w:rsidRPr="00E21F43" w:rsidRDefault="00B66615" w:rsidP="00B66615">
    <w:pPr>
      <w:pStyle w:val="Pieddepage"/>
      <w:rPr>
        <w:rFonts w:ascii="Arial" w:eastAsia="Arial" w:hAnsi="Arial" w:cs="Arial"/>
        <w:sz w:val="16"/>
        <w:szCs w:val="16"/>
      </w:rPr>
    </w:pPr>
    <w:r w:rsidRPr="00E21F43">
      <w:rPr>
        <w:rFonts w:ascii="Arial" w:hAnsi="Arial" w:cs="Arial"/>
        <w:sz w:val="16"/>
        <w:szCs w:val="16"/>
      </w:rPr>
      <w:t>Chaussée de Charleroi 112, 1060</w:t>
    </w:r>
    <w:r w:rsidRPr="00E21F43">
      <w:rPr>
        <w:rFonts w:ascii="Arial" w:eastAsia="Arial" w:hAnsi="Arial" w:cs="Arial"/>
        <w:sz w:val="16"/>
        <w:szCs w:val="16"/>
      </w:rPr>
      <w:t xml:space="preserve"> </w:t>
    </w:r>
    <w:r w:rsidRPr="00E21F43">
      <w:rPr>
        <w:rFonts w:ascii="Arial" w:hAnsi="Arial" w:cs="Arial"/>
        <w:sz w:val="16"/>
        <w:szCs w:val="16"/>
      </w:rPr>
      <w:t>Bru</w:t>
    </w:r>
    <w:r w:rsidR="00B3751E" w:rsidRPr="00E21F43">
      <w:rPr>
        <w:rFonts w:ascii="Arial" w:hAnsi="Arial" w:cs="Arial"/>
        <w:sz w:val="16"/>
        <w:szCs w:val="16"/>
      </w:rPr>
      <w:t>ssels</w:t>
    </w:r>
    <w:r w:rsidRPr="00E21F43">
      <w:rPr>
        <w:rFonts w:ascii="Arial" w:hAnsi="Arial" w:cs="Arial"/>
        <w:sz w:val="16"/>
        <w:szCs w:val="16"/>
      </w:rPr>
      <w:tab/>
    </w:r>
    <w:r w:rsidRPr="00E21F43">
      <w:rPr>
        <w:rFonts w:ascii="Arial" w:hAnsi="Arial" w:cs="Arial"/>
        <w:sz w:val="16"/>
        <w:szCs w:val="16"/>
      </w:rPr>
      <w:tab/>
    </w:r>
    <w:r w:rsidR="00BC79DB" w:rsidRPr="00E21F43">
      <w:rPr>
        <w:rFonts w:ascii="Arial" w:hAnsi="Arial" w:cs="Arial"/>
        <w:sz w:val="16"/>
        <w:szCs w:val="16"/>
      </w:rPr>
      <w:t>Terms and conditions</w:t>
    </w:r>
  </w:p>
  <w:p w14:paraId="1A2D9257" w14:textId="75B6207B" w:rsidR="00B66615" w:rsidRPr="00BC79DB" w:rsidRDefault="00B66615">
    <w:pPr>
      <w:pStyle w:val="Pieddepage"/>
      <w:rPr>
        <w:rFonts w:ascii="Arial" w:hAnsi="Arial" w:cs="Arial"/>
        <w:lang w:val="en-GB"/>
      </w:rPr>
    </w:pPr>
    <w:r w:rsidRPr="00BC79DB">
      <w:rPr>
        <w:rFonts w:ascii="Arial" w:eastAsia="Arial" w:hAnsi="Arial" w:cs="Arial"/>
        <w:sz w:val="16"/>
        <w:szCs w:val="16"/>
        <w:lang w:val="en-GB"/>
      </w:rPr>
      <w:t>T: 02.600.50.34</w:t>
    </w:r>
    <w:r w:rsidRPr="00BC79DB">
      <w:rPr>
        <w:rFonts w:ascii="Arial" w:eastAsia="Arial" w:hAnsi="Arial" w:cs="Arial"/>
        <w:sz w:val="16"/>
        <w:szCs w:val="16"/>
        <w:lang w:val="en-GB"/>
      </w:rPr>
      <w:tab/>
    </w:r>
    <w:r w:rsidRPr="00BC79DB">
      <w:rPr>
        <w:rFonts w:ascii="Arial" w:eastAsia="Arial" w:hAnsi="Arial" w:cs="Arial"/>
        <w:sz w:val="16"/>
        <w:szCs w:val="16"/>
        <w:lang w:val="en-GB"/>
      </w:rPr>
      <w:tab/>
      <w:t>P</w:t>
    </w:r>
    <w:r w:rsidRPr="00BC79DB">
      <w:rPr>
        <w:rFonts w:ascii="Arial" w:hAnsi="Arial" w:cs="Arial"/>
        <w:sz w:val="16"/>
        <w:szCs w:val="16"/>
        <w:lang w:val="en-GB"/>
      </w:rPr>
      <w:t>age</w:t>
    </w:r>
    <w:r w:rsidRPr="00BC79DB">
      <w:rPr>
        <w:rFonts w:ascii="Arial" w:eastAsia="Arial" w:hAnsi="Arial" w:cs="Arial"/>
        <w:sz w:val="16"/>
        <w:szCs w:val="16"/>
        <w:lang w:val="en-GB"/>
      </w:rPr>
      <w:t xml:space="preserve"> </w:t>
    </w:r>
    <w:r w:rsidRPr="00BC79DB">
      <w:rPr>
        <w:rStyle w:val="Numrodepage"/>
        <w:rFonts w:ascii="Arial" w:hAnsi="Arial" w:cs="Arial"/>
        <w:sz w:val="16"/>
        <w:szCs w:val="16"/>
        <w:lang w:val="en-GB"/>
      </w:rPr>
      <w:fldChar w:fldCharType="begin"/>
    </w:r>
    <w:r w:rsidRPr="00BC79DB">
      <w:rPr>
        <w:rStyle w:val="Numrodepage"/>
        <w:rFonts w:ascii="Arial" w:hAnsi="Arial" w:cs="Arial"/>
        <w:sz w:val="16"/>
        <w:szCs w:val="16"/>
        <w:lang w:val="en-GB"/>
      </w:rPr>
      <w:instrText xml:space="preserve"> PAGE </w:instrText>
    </w:r>
    <w:r w:rsidRPr="00BC79DB">
      <w:rPr>
        <w:rStyle w:val="Numrodepage"/>
        <w:rFonts w:ascii="Arial" w:hAnsi="Arial" w:cs="Arial"/>
        <w:sz w:val="16"/>
        <w:szCs w:val="16"/>
        <w:lang w:val="en-GB"/>
      </w:rPr>
      <w:fldChar w:fldCharType="separate"/>
    </w:r>
    <w:r w:rsidRPr="00BC79DB">
      <w:rPr>
        <w:rStyle w:val="Numrodepage"/>
        <w:rFonts w:ascii="Arial" w:hAnsi="Arial" w:cs="Arial"/>
        <w:sz w:val="16"/>
        <w:szCs w:val="16"/>
        <w:lang w:val="en-GB"/>
      </w:rPr>
      <w:t>2</w:t>
    </w:r>
    <w:r w:rsidRPr="00BC79DB">
      <w:rPr>
        <w:rStyle w:val="Numrodepage"/>
        <w:rFonts w:ascii="Arial" w:hAnsi="Arial" w:cs="Arial"/>
        <w:sz w:val="16"/>
        <w:szCs w:val="16"/>
        <w:lang w:val="en-GB"/>
      </w:rPr>
      <w:fldChar w:fldCharType="end"/>
    </w:r>
    <w:r w:rsidRPr="00BC79DB">
      <w:rPr>
        <w:rStyle w:val="Numrodepage"/>
        <w:rFonts w:ascii="Arial" w:eastAsia="Arial" w:hAnsi="Arial" w:cs="Arial"/>
        <w:sz w:val="16"/>
        <w:szCs w:val="16"/>
        <w:lang w:val="en-GB"/>
      </w:rPr>
      <w:t xml:space="preserve"> / </w:t>
    </w:r>
    <w:r w:rsidRPr="00BC79DB">
      <w:rPr>
        <w:rStyle w:val="Numrodepage"/>
        <w:rFonts w:ascii="Arial" w:hAnsi="Arial" w:cs="Arial"/>
        <w:sz w:val="16"/>
        <w:szCs w:val="16"/>
        <w:lang w:val="en-GB"/>
      </w:rPr>
      <w:fldChar w:fldCharType="begin"/>
    </w:r>
    <w:r w:rsidRPr="00BC79DB">
      <w:rPr>
        <w:rStyle w:val="Numrodepage"/>
        <w:rFonts w:ascii="Arial" w:hAnsi="Arial" w:cs="Arial"/>
        <w:sz w:val="16"/>
        <w:szCs w:val="16"/>
        <w:lang w:val="en-GB"/>
      </w:rPr>
      <w:instrText xml:space="preserve"> NUMPAGES \*Arabic </w:instrText>
    </w:r>
    <w:r w:rsidRPr="00BC79DB">
      <w:rPr>
        <w:rStyle w:val="Numrodepage"/>
        <w:rFonts w:ascii="Arial" w:hAnsi="Arial" w:cs="Arial"/>
        <w:sz w:val="16"/>
        <w:szCs w:val="16"/>
        <w:lang w:val="en-GB"/>
      </w:rPr>
      <w:fldChar w:fldCharType="separate"/>
    </w:r>
    <w:r w:rsidRPr="00BC79DB">
      <w:rPr>
        <w:rStyle w:val="Numrodepage"/>
        <w:rFonts w:ascii="Arial" w:hAnsi="Arial" w:cs="Arial"/>
        <w:sz w:val="16"/>
        <w:szCs w:val="16"/>
        <w:lang w:val="en-GB"/>
      </w:rPr>
      <w:t>26</w:t>
    </w:r>
    <w:r w:rsidRPr="00BC79DB">
      <w:rPr>
        <w:rStyle w:val="Numrodepage"/>
        <w:rFonts w:ascii="Arial" w:hAnsi="Arial" w:cs="Arial"/>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C2F60" w14:textId="77777777" w:rsidR="00E66F23" w:rsidRDefault="00E66F23" w:rsidP="00300383">
      <w:pPr>
        <w:spacing w:after="0" w:line="240" w:lineRule="auto"/>
      </w:pPr>
      <w:r>
        <w:separator/>
      </w:r>
    </w:p>
  </w:footnote>
  <w:footnote w:type="continuationSeparator" w:id="0">
    <w:p w14:paraId="3FA25E03" w14:textId="77777777" w:rsidR="00E66F23" w:rsidRDefault="00E66F23" w:rsidP="00300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CEE0" w14:textId="55A7A487" w:rsidR="00300383" w:rsidRDefault="00310385" w:rsidP="00300383">
    <w:pPr>
      <w:pStyle w:val="En-tte"/>
      <w:jc w:val="right"/>
    </w:pPr>
    <w:r w:rsidRPr="00B34DDB">
      <w:rPr>
        <w:rFonts w:cs="Arial"/>
        <w:noProof/>
        <w:sz w:val="18"/>
        <w:szCs w:val="18"/>
      </w:rPr>
      <w:drawing>
        <wp:anchor distT="0" distB="0" distL="114300" distR="114300" simplePos="0" relativeHeight="251659264" behindDoc="0" locked="0" layoutInCell="1" allowOverlap="1" wp14:anchorId="1B5FAF54" wp14:editId="40D5ECA7">
          <wp:simplePos x="0" y="0"/>
          <wp:positionH relativeFrom="column">
            <wp:posOffset>-502920</wp:posOffset>
          </wp:positionH>
          <wp:positionV relativeFrom="paragraph">
            <wp:posOffset>-159385</wp:posOffset>
          </wp:positionV>
          <wp:extent cx="1318374" cy="602032"/>
          <wp:effectExtent l="0" t="0" r="0" b="7620"/>
          <wp:wrapSquare wrapText="bothSides"/>
          <wp:docPr id="59" name="Image 5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72C4B77"/>
    <w:multiLevelType w:val="hybridMultilevel"/>
    <w:tmpl w:val="AA7E51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11C7440"/>
    <w:multiLevelType w:val="hybridMultilevel"/>
    <w:tmpl w:val="210C294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8271251"/>
    <w:multiLevelType w:val="hybridMultilevel"/>
    <w:tmpl w:val="E1C28AA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71E2B06"/>
    <w:multiLevelType w:val="hybridMultilevel"/>
    <w:tmpl w:val="C6BC9AC0"/>
    <w:lvl w:ilvl="0" w:tplc="08D656D0">
      <w:numFmt w:val="bullet"/>
      <w:lvlText w:val="-"/>
      <w:lvlJc w:val="left"/>
      <w:pPr>
        <w:ind w:left="720" w:hanging="360"/>
      </w:pPr>
      <w:rPr>
        <w:rFonts w:ascii="Arial" w:eastAsia="SimSu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F846A35"/>
    <w:multiLevelType w:val="hybridMultilevel"/>
    <w:tmpl w:val="9736624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52E465A"/>
    <w:multiLevelType w:val="hybridMultilevel"/>
    <w:tmpl w:val="443ABA60"/>
    <w:lvl w:ilvl="0" w:tplc="93246D24">
      <w:start w:val="1"/>
      <w:numFmt w:val="bullet"/>
      <w:lvlText w:val=""/>
      <w:lvlJc w:val="left"/>
      <w:pPr>
        <w:ind w:left="720" w:hanging="360"/>
      </w:pPr>
      <w:rPr>
        <w:rFonts w:ascii="Symbol" w:hAnsi="Symbol" w:hint="default"/>
      </w:rPr>
    </w:lvl>
    <w:lvl w:ilvl="1" w:tplc="782817F4">
      <w:start w:val="1"/>
      <w:numFmt w:val="bullet"/>
      <w:lvlText w:val="o"/>
      <w:lvlJc w:val="left"/>
      <w:pPr>
        <w:ind w:left="1440" w:hanging="360"/>
      </w:pPr>
      <w:rPr>
        <w:rFonts w:ascii="Courier New" w:hAnsi="Courier New" w:cs="Courier New" w:hint="default"/>
      </w:rPr>
    </w:lvl>
    <w:lvl w:ilvl="2" w:tplc="2DE281D4">
      <w:start w:val="1"/>
      <w:numFmt w:val="bullet"/>
      <w:lvlText w:val=""/>
      <w:lvlJc w:val="left"/>
      <w:pPr>
        <w:ind w:left="2160" w:hanging="360"/>
      </w:pPr>
      <w:rPr>
        <w:rFonts w:ascii="Wingdings" w:hAnsi="Wingdings" w:hint="default"/>
      </w:rPr>
    </w:lvl>
    <w:lvl w:ilvl="3" w:tplc="17929CEE">
      <w:start w:val="1"/>
      <w:numFmt w:val="bullet"/>
      <w:lvlText w:val=""/>
      <w:lvlJc w:val="left"/>
      <w:pPr>
        <w:ind w:left="2880" w:hanging="360"/>
      </w:pPr>
      <w:rPr>
        <w:rFonts w:ascii="Symbol" w:hAnsi="Symbol" w:hint="default"/>
      </w:rPr>
    </w:lvl>
    <w:lvl w:ilvl="4" w:tplc="C56E80FC">
      <w:start w:val="1"/>
      <w:numFmt w:val="bullet"/>
      <w:lvlText w:val="o"/>
      <w:lvlJc w:val="left"/>
      <w:pPr>
        <w:ind w:left="3600" w:hanging="360"/>
      </w:pPr>
      <w:rPr>
        <w:rFonts w:ascii="Courier New" w:hAnsi="Courier New" w:cs="Courier New" w:hint="default"/>
      </w:rPr>
    </w:lvl>
    <w:lvl w:ilvl="5" w:tplc="CC1CD270">
      <w:start w:val="1"/>
      <w:numFmt w:val="bullet"/>
      <w:lvlText w:val=""/>
      <w:lvlJc w:val="left"/>
      <w:pPr>
        <w:ind w:left="4320" w:hanging="360"/>
      </w:pPr>
      <w:rPr>
        <w:rFonts w:ascii="Wingdings" w:hAnsi="Wingdings" w:hint="default"/>
      </w:rPr>
    </w:lvl>
    <w:lvl w:ilvl="6" w:tplc="9D16F536">
      <w:start w:val="1"/>
      <w:numFmt w:val="bullet"/>
      <w:lvlText w:val=""/>
      <w:lvlJc w:val="left"/>
      <w:pPr>
        <w:ind w:left="5040" w:hanging="360"/>
      </w:pPr>
      <w:rPr>
        <w:rFonts w:ascii="Symbol" w:hAnsi="Symbol" w:hint="default"/>
      </w:rPr>
    </w:lvl>
    <w:lvl w:ilvl="7" w:tplc="CA5012D6">
      <w:start w:val="1"/>
      <w:numFmt w:val="bullet"/>
      <w:lvlText w:val="o"/>
      <w:lvlJc w:val="left"/>
      <w:pPr>
        <w:ind w:left="5760" w:hanging="360"/>
      </w:pPr>
      <w:rPr>
        <w:rFonts w:ascii="Courier New" w:hAnsi="Courier New" w:cs="Courier New" w:hint="default"/>
      </w:rPr>
    </w:lvl>
    <w:lvl w:ilvl="8" w:tplc="DE88AE06">
      <w:start w:val="1"/>
      <w:numFmt w:val="bullet"/>
      <w:lvlText w:val=""/>
      <w:lvlJc w:val="left"/>
      <w:pPr>
        <w:ind w:left="6480" w:hanging="360"/>
      </w:pPr>
      <w:rPr>
        <w:rFonts w:ascii="Wingdings" w:hAnsi="Wingdings" w:hint="default"/>
      </w:rPr>
    </w:lvl>
  </w:abstractNum>
  <w:abstractNum w:abstractNumId="7" w15:restartNumberingAfterBreak="0">
    <w:nsid w:val="474E4F09"/>
    <w:multiLevelType w:val="hybridMultilevel"/>
    <w:tmpl w:val="AED842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8C61936"/>
    <w:multiLevelType w:val="hybridMultilevel"/>
    <w:tmpl w:val="E3EEABE8"/>
    <w:lvl w:ilvl="0" w:tplc="C45EBB30">
      <w:start w:val="3"/>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BBE0451"/>
    <w:multiLevelType w:val="hybridMultilevel"/>
    <w:tmpl w:val="A5DC7F5C"/>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CCF72CE"/>
    <w:multiLevelType w:val="hybridMultilevel"/>
    <w:tmpl w:val="269C9318"/>
    <w:lvl w:ilvl="0" w:tplc="92F2D7C2">
      <w:start w:val="1"/>
      <w:numFmt w:val="bullet"/>
      <w:lvlText w:val=""/>
      <w:lvlJc w:val="left"/>
      <w:pPr>
        <w:ind w:left="360" w:hanging="360"/>
      </w:pPr>
      <w:rPr>
        <w:rFonts w:ascii="Symbol" w:hAnsi="Symbol" w:hint="default"/>
      </w:rPr>
    </w:lvl>
    <w:lvl w:ilvl="1" w:tplc="D5DE1CCE">
      <w:start w:val="1"/>
      <w:numFmt w:val="lowerLetter"/>
      <w:lvlText w:val="%2."/>
      <w:lvlJc w:val="left"/>
      <w:pPr>
        <w:ind w:left="1080" w:hanging="360"/>
      </w:pPr>
    </w:lvl>
    <w:lvl w:ilvl="2" w:tplc="88F6D224">
      <w:start w:val="1"/>
      <w:numFmt w:val="lowerRoman"/>
      <w:lvlText w:val="%3."/>
      <w:lvlJc w:val="right"/>
      <w:pPr>
        <w:ind w:left="1800" w:hanging="180"/>
      </w:pPr>
    </w:lvl>
    <w:lvl w:ilvl="3" w:tplc="6888B332">
      <w:start w:val="1"/>
      <w:numFmt w:val="decimal"/>
      <w:lvlText w:val="%4."/>
      <w:lvlJc w:val="left"/>
      <w:pPr>
        <w:ind w:left="2520" w:hanging="360"/>
      </w:pPr>
    </w:lvl>
    <w:lvl w:ilvl="4" w:tplc="209A2AFA">
      <w:start w:val="1"/>
      <w:numFmt w:val="lowerLetter"/>
      <w:lvlText w:val="%5."/>
      <w:lvlJc w:val="left"/>
      <w:pPr>
        <w:ind w:left="3240" w:hanging="360"/>
      </w:pPr>
    </w:lvl>
    <w:lvl w:ilvl="5" w:tplc="29C260C2">
      <w:start w:val="1"/>
      <w:numFmt w:val="lowerRoman"/>
      <w:lvlText w:val="%6."/>
      <w:lvlJc w:val="right"/>
      <w:pPr>
        <w:ind w:left="3960" w:hanging="180"/>
      </w:pPr>
    </w:lvl>
    <w:lvl w:ilvl="6" w:tplc="87C2BB3E">
      <w:start w:val="1"/>
      <w:numFmt w:val="decimal"/>
      <w:lvlText w:val="%7."/>
      <w:lvlJc w:val="left"/>
      <w:pPr>
        <w:ind w:left="4680" w:hanging="360"/>
      </w:pPr>
    </w:lvl>
    <w:lvl w:ilvl="7" w:tplc="E1261450">
      <w:start w:val="1"/>
      <w:numFmt w:val="lowerLetter"/>
      <w:lvlText w:val="%8."/>
      <w:lvlJc w:val="left"/>
      <w:pPr>
        <w:ind w:left="5400" w:hanging="360"/>
      </w:pPr>
    </w:lvl>
    <w:lvl w:ilvl="8" w:tplc="974853DC">
      <w:start w:val="1"/>
      <w:numFmt w:val="lowerRoman"/>
      <w:lvlText w:val="%9."/>
      <w:lvlJc w:val="right"/>
      <w:pPr>
        <w:ind w:left="6120" w:hanging="180"/>
      </w:pPr>
    </w:lvl>
  </w:abstractNum>
  <w:abstractNum w:abstractNumId="11" w15:restartNumberingAfterBreak="0">
    <w:nsid w:val="574E091D"/>
    <w:multiLevelType w:val="hybridMultilevel"/>
    <w:tmpl w:val="C4C66EA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7570006"/>
    <w:multiLevelType w:val="hybridMultilevel"/>
    <w:tmpl w:val="27BEE6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7A8101B"/>
    <w:multiLevelType w:val="hybridMultilevel"/>
    <w:tmpl w:val="B7B8BCDA"/>
    <w:lvl w:ilvl="0" w:tplc="C45EBB30">
      <w:start w:val="3"/>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F23166B"/>
    <w:multiLevelType w:val="hybridMultilevel"/>
    <w:tmpl w:val="5664A8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0E7387E"/>
    <w:multiLevelType w:val="hybridMultilevel"/>
    <w:tmpl w:val="5356A130"/>
    <w:lvl w:ilvl="0" w:tplc="E042E008">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9576C85"/>
    <w:multiLevelType w:val="hybridMultilevel"/>
    <w:tmpl w:val="D11826FA"/>
    <w:lvl w:ilvl="0" w:tplc="C45EBB30">
      <w:start w:val="3"/>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A127F62"/>
    <w:multiLevelType w:val="hybridMultilevel"/>
    <w:tmpl w:val="556EC7D4"/>
    <w:lvl w:ilvl="0" w:tplc="9FAAD0E8">
      <w:start w:val="1"/>
      <w:numFmt w:val="bullet"/>
      <w:lvlText w:val="-"/>
      <w:lvlJc w:val="left"/>
      <w:pPr>
        <w:ind w:left="720" w:hanging="360"/>
      </w:pPr>
      <w:rPr>
        <w:rFonts w:ascii="Arial" w:eastAsia="SimSun" w:hAnsi="Arial" w:cs="Arial" w:hint="default"/>
      </w:rPr>
    </w:lvl>
    <w:lvl w:ilvl="1" w:tplc="11B24C2A">
      <w:start w:val="1"/>
      <w:numFmt w:val="bullet"/>
      <w:lvlText w:val="o"/>
      <w:lvlJc w:val="left"/>
      <w:pPr>
        <w:ind w:left="1440" w:hanging="360"/>
      </w:pPr>
      <w:rPr>
        <w:rFonts w:ascii="Courier New" w:hAnsi="Courier New" w:cs="Courier New" w:hint="default"/>
      </w:rPr>
    </w:lvl>
    <w:lvl w:ilvl="2" w:tplc="3B4C43C0">
      <w:start w:val="1"/>
      <w:numFmt w:val="bullet"/>
      <w:lvlText w:val=""/>
      <w:lvlJc w:val="left"/>
      <w:pPr>
        <w:ind w:left="2160" w:hanging="360"/>
      </w:pPr>
      <w:rPr>
        <w:rFonts w:ascii="Wingdings" w:hAnsi="Wingdings" w:hint="default"/>
      </w:rPr>
    </w:lvl>
    <w:lvl w:ilvl="3" w:tplc="71344DEE">
      <w:start w:val="1"/>
      <w:numFmt w:val="bullet"/>
      <w:lvlText w:val=""/>
      <w:lvlJc w:val="left"/>
      <w:pPr>
        <w:ind w:left="2880" w:hanging="360"/>
      </w:pPr>
      <w:rPr>
        <w:rFonts w:ascii="Symbol" w:hAnsi="Symbol" w:hint="default"/>
      </w:rPr>
    </w:lvl>
    <w:lvl w:ilvl="4" w:tplc="045A2ED2">
      <w:start w:val="1"/>
      <w:numFmt w:val="bullet"/>
      <w:lvlText w:val="o"/>
      <w:lvlJc w:val="left"/>
      <w:pPr>
        <w:ind w:left="3600" w:hanging="360"/>
      </w:pPr>
      <w:rPr>
        <w:rFonts w:ascii="Courier New" w:hAnsi="Courier New" w:cs="Courier New" w:hint="default"/>
      </w:rPr>
    </w:lvl>
    <w:lvl w:ilvl="5" w:tplc="A04C267E">
      <w:start w:val="1"/>
      <w:numFmt w:val="bullet"/>
      <w:lvlText w:val=""/>
      <w:lvlJc w:val="left"/>
      <w:pPr>
        <w:ind w:left="4320" w:hanging="360"/>
      </w:pPr>
      <w:rPr>
        <w:rFonts w:ascii="Wingdings" w:hAnsi="Wingdings" w:hint="default"/>
      </w:rPr>
    </w:lvl>
    <w:lvl w:ilvl="6" w:tplc="1B76EF4E">
      <w:start w:val="1"/>
      <w:numFmt w:val="bullet"/>
      <w:lvlText w:val=""/>
      <w:lvlJc w:val="left"/>
      <w:pPr>
        <w:ind w:left="5040" w:hanging="360"/>
      </w:pPr>
      <w:rPr>
        <w:rFonts w:ascii="Symbol" w:hAnsi="Symbol" w:hint="default"/>
      </w:rPr>
    </w:lvl>
    <w:lvl w:ilvl="7" w:tplc="4D320B96">
      <w:start w:val="1"/>
      <w:numFmt w:val="bullet"/>
      <w:lvlText w:val="o"/>
      <w:lvlJc w:val="left"/>
      <w:pPr>
        <w:ind w:left="5760" w:hanging="360"/>
      </w:pPr>
      <w:rPr>
        <w:rFonts w:ascii="Courier New" w:hAnsi="Courier New" w:cs="Courier New" w:hint="default"/>
      </w:rPr>
    </w:lvl>
    <w:lvl w:ilvl="8" w:tplc="E8803DB0">
      <w:start w:val="1"/>
      <w:numFmt w:val="bullet"/>
      <w:lvlText w:val=""/>
      <w:lvlJc w:val="left"/>
      <w:pPr>
        <w:ind w:left="6480" w:hanging="360"/>
      </w:pPr>
      <w:rPr>
        <w:rFonts w:ascii="Wingdings" w:hAnsi="Wingdings" w:hint="default"/>
      </w:rPr>
    </w:lvl>
  </w:abstractNum>
  <w:abstractNum w:abstractNumId="18" w15:restartNumberingAfterBreak="0">
    <w:nsid w:val="6AE81BC1"/>
    <w:multiLevelType w:val="hybridMultilevel"/>
    <w:tmpl w:val="1A14DB76"/>
    <w:lvl w:ilvl="0" w:tplc="2E4C87EE">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6"/>
  </w:num>
  <w:num w:numId="5">
    <w:abstractNumId w:val="17"/>
  </w:num>
  <w:num w:numId="6">
    <w:abstractNumId w:val="15"/>
  </w:num>
  <w:num w:numId="7">
    <w:abstractNumId w:val="18"/>
  </w:num>
  <w:num w:numId="8">
    <w:abstractNumId w:val="4"/>
  </w:num>
  <w:num w:numId="9">
    <w:abstractNumId w:val="5"/>
  </w:num>
  <w:num w:numId="10">
    <w:abstractNumId w:val="11"/>
  </w:num>
  <w:num w:numId="11">
    <w:abstractNumId w:val="1"/>
  </w:num>
  <w:num w:numId="12">
    <w:abstractNumId w:val="13"/>
  </w:num>
  <w:num w:numId="13">
    <w:abstractNumId w:val="16"/>
  </w:num>
  <w:num w:numId="14">
    <w:abstractNumId w:val="8"/>
  </w:num>
  <w:num w:numId="15">
    <w:abstractNumId w:val="3"/>
  </w:num>
  <w:num w:numId="16">
    <w:abstractNumId w:val="2"/>
  </w:num>
  <w:num w:numId="17">
    <w:abstractNumId w:val="12"/>
  </w:num>
  <w:num w:numId="18">
    <w:abstractNumId w:val="7"/>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E4"/>
    <w:rsid w:val="00002529"/>
    <w:rsid w:val="00007C48"/>
    <w:rsid w:val="00010361"/>
    <w:rsid w:val="0001472A"/>
    <w:rsid w:val="00015470"/>
    <w:rsid w:val="0004350C"/>
    <w:rsid w:val="00051748"/>
    <w:rsid w:val="0007465A"/>
    <w:rsid w:val="0008025C"/>
    <w:rsid w:val="00091580"/>
    <w:rsid w:val="0009422E"/>
    <w:rsid w:val="000B1CF7"/>
    <w:rsid w:val="000B3A6A"/>
    <w:rsid w:val="000B3CC4"/>
    <w:rsid w:val="000B58C5"/>
    <w:rsid w:val="000C4AD8"/>
    <w:rsid w:val="000C7B06"/>
    <w:rsid w:val="000D74E4"/>
    <w:rsid w:val="000E37D2"/>
    <w:rsid w:val="000E51CB"/>
    <w:rsid w:val="000F6926"/>
    <w:rsid w:val="001014B6"/>
    <w:rsid w:val="0010181D"/>
    <w:rsid w:val="001076B1"/>
    <w:rsid w:val="00110D96"/>
    <w:rsid w:val="0011231D"/>
    <w:rsid w:val="00113A76"/>
    <w:rsid w:val="001321B3"/>
    <w:rsid w:val="001358A1"/>
    <w:rsid w:val="0013741A"/>
    <w:rsid w:val="001428FA"/>
    <w:rsid w:val="001432BF"/>
    <w:rsid w:val="00144B70"/>
    <w:rsid w:val="00144D6B"/>
    <w:rsid w:val="00147E03"/>
    <w:rsid w:val="00151F11"/>
    <w:rsid w:val="001526FF"/>
    <w:rsid w:val="00173367"/>
    <w:rsid w:val="00176F00"/>
    <w:rsid w:val="00186A4A"/>
    <w:rsid w:val="00193BD1"/>
    <w:rsid w:val="00194280"/>
    <w:rsid w:val="001A1E17"/>
    <w:rsid w:val="001A2C5E"/>
    <w:rsid w:val="001A3045"/>
    <w:rsid w:val="001A5A99"/>
    <w:rsid w:val="001A7480"/>
    <w:rsid w:val="001B6054"/>
    <w:rsid w:val="001C018D"/>
    <w:rsid w:val="001C0B96"/>
    <w:rsid w:val="001C0F08"/>
    <w:rsid w:val="001C43B6"/>
    <w:rsid w:val="001C5F73"/>
    <w:rsid w:val="001C643D"/>
    <w:rsid w:val="001D6F68"/>
    <w:rsid w:val="001D79DC"/>
    <w:rsid w:val="001E1163"/>
    <w:rsid w:val="001E4081"/>
    <w:rsid w:val="001E648F"/>
    <w:rsid w:val="002050A2"/>
    <w:rsid w:val="00207156"/>
    <w:rsid w:val="002153DC"/>
    <w:rsid w:val="00235830"/>
    <w:rsid w:val="0026210E"/>
    <w:rsid w:val="00281664"/>
    <w:rsid w:val="0028479E"/>
    <w:rsid w:val="002B32E5"/>
    <w:rsid w:val="002B7927"/>
    <w:rsid w:val="002C3DD7"/>
    <w:rsid w:val="002C3EC1"/>
    <w:rsid w:val="002C6965"/>
    <w:rsid w:val="002D0EAA"/>
    <w:rsid w:val="002D10AA"/>
    <w:rsid w:val="002D2068"/>
    <w:rsid w:val="002D25DE"/>
    <w:rsid w:val="002E0847"/>
    <w:rsid w:val="002E1A6A"/>
    <w:rsid w:val="002E74C8"/>
    <w:rsid w:val="002F1A89"/>
    <w:rsid w:val="00300383"/>
    <w:rsid w:val="0030398E"/>
    <w:rsid w:val="003041DD"/>
    <w:rsid w:val="0030537F"/>
    <w:rsid w:val="00306361"/>
    <w:rsid w:val="00306580"/>
    <w:rsid w:val="00310385"/>
    <w:rsid w:val="003116CF"/>
    <w:rsid w:val="003119E1"/>
    <w:rsid w:val="00312ABB"/>
    <w:rsid w:val="00314804"/>
    <w:rsid w:val="00316FBF"/>
    <w:rsid w:val="003222EB"/>
    <w:rsid w:val="003238E8"/>
    <w:rsid w:val="00326FFF"/>
    <w:rsid w:val="00330FC3"/>
    <w:rsid w:val="003365ED"/>
    <w:rsid w:val="00340A64"/>
    <w:rsid w:val="00341F18"/>
    <w:rsid w:val="00344FD5"/>
    <w:rsid w:val="003457FD"/>
    <w:rsid w:val="00346F77"/>
    <w:rsid w:val="00354652"/>
    <w:rsid w:val="00362634"/>
    <w:rsid w:val="0038489E"/>
    <w:rsid w:val="00384B79"/>
    <w:rsid w:val="00385A67"/>
    <w:rsid w:val="0038668B"/>
    <w:rsid w:val="00392E79"/>
    <w:rsid w:val="00394B78"/>
    <w:rsid w:val="00395075"/>
    <w:rsid w:val="003978D9"/>
    <w:rsid w:val="003A4402"/>
    <w:rsid w:val="003A45A0"/>
    <w:rsid w:val="003B2473"/>
    <w:rsid w:val="003C24A8"/>
    <w:rsid w:val="003C607A"/>
    <w:rsid w:val="003D70D5"/>
    <w:rsid w:val="003E2509"/>
    <w:rsid w:val="003F60BF"/>
    <w:rsid w:val="00402DAB"/>
    <w:rsid w:val="0040504C"/>
    <w:rsid w:val="004058DE"/>
    <w:rsid w:val="00412D52"/>
    <w:rsid w:val="00421E7E"/>
    <w:rsid w:val="00433342"/>
    <w:rsid w:val="00442518"/>
    <w:rsid w:val="004444FA"/>
    <w:rsid w:val="00450979"/>
    <w:rsid w:val="00456ADD"/>
    <w:rsid w:val="004618DA"/>
    <w:rsid w:val="00461DE5"/>
    <w:rsid w:val="004666B3"/>
    <w:rsid w:val="00467044"/>
    <w:rsid w:val="00474B85"/>
    <w:rsid w:val="00476193"/>
    <w:rsid w:val="00494CF7"/>
    <w:rsid w:val="004B7753"/>
    <w:rsid w:val="004B7CFA"/>
    <w:rsid w:val="004C3EE9"/>
    <w:rsid w:val="004C6233"/>
    <w:rsid w:val="004D3025"/>
    <w:rsid w:val="004D3AF1"/>
    <w:rsid w:val="004D6FBC"/>
    <w:rsid w:val="004E1045"/>
    <w:rsid w:val="004E17D7"/>
    <w:rsid w:val="004E4CEF"/>
    <w:rsid w:val="004E6FAA"/>
    <w:rsid w:val="004F1EAE"/>
    <w:rsid w:val="004F3280"/>
    <w:rsid w:val="004F455D"/>
    <w:rsid w:val="004F499E"/>
    <w:rsid w:val="004F4CC5"/>
    <w:rsid w:val="00500E44"/>
    <w:rsid w:val="0050142C"/>
    <w:rsid w:val="00504C50"/>
    <w:rsid w:val="0051027B"/>
    <w:rsid w:val="00512EA7"/>
    <w:rsid w:val="00520B04"/>
    <w:rsid w:val="00523487"/>
    <w:rsid w:val="0052457B"/>
    <w:rsid w:val="0054309D"/>
    <w:rsid w:val="005430A5"/>
    <w:rsid w:val="00545329"/>
    <w:rsid w:val="00545A0F"/>
    <w:rsid w:val="005511DE"/>
    <w:rsid w:val="0055568A"/>
    <w:rsid w:val="00555A54"/>
    <w:rsid w:val="00557C20"/>
    <w:rsid w:val="00560831"/>
    <w:rsid w:val="005844D6"/>
    <w:rsid w:val="005852DB"/>
    <w:rsid w:val="00587A21"/>
    <w:rsid w:val="005930F5"/>
    <w:rsid w:val="005955CB"/>
    <w:rsid w:val="00596623"/>
    <w:rsid w:val="005A048A"/>
    <w:rsid w:val="005A3B10"/>
    <w:rsid w:val="005A4E65"/>
    <w:rsid w:val="005A6C98"/>
    <w:rsid w:val="005B4139"/>
    <w:rsid w:val="005B7E24"/>
    <w:rsid w:val="005C2A0A"/>
    <w:rsid w:val="005D03B5"/>
    <w:rsid w:val="005D18E0"/>
    <w:rsid w:val="005D1957"/>
    <w:rsid w:val="005D35C4"/>
    <w:rsid w:val="005D6BB4"/>
    <w:rsid w:val="005E7B9F"/>
    <w:rsid w:val="005F3261"/>
    <w:rsid w:val="005F4D24"/>
    <w:rsid w:val="005F5EF2"/>
    <w:rsid w:val="00601CEC"/>
    <w:rsid w:val="0060221F"/>
    <w:rsid w:val="00602EC2"/>
    <w:rsid w:val="00606254"/>
    <w:rsid w:val="006068D4"/>
    <w:rsid w:val="00613889"/>
    <w:rsid w:val="00620424"/>
    <w:rsid w:val="00622B98"/>
    <w:rsid w:val="0062744B"/>
    <w:rsid w:val="00631368"/>
    <w:rsid w:val="00633E96"/>
    <w:rsid w:val="00635F52"/>
    <w:rsid w:val="00646ED7"/>
    <w:rsid w:val="00647940"/>
    <w:rsid w:val="006501E2"/>
    <w:rsid w:val="00650957"/>
    <w:rsid w:val="006536A5"/>
    <w:rsid w:val="006561D1"/>
    <w:rsid w:val="0066153F"/>
    <w:rsid w:val="00661626"/>
    <w:rsid w:val="006632A4"/>
    <w:rsid w:val="00663EBC"/>
    <w:rsid w:val="00665131"/>
    <w:rsid w:val="006673B4"/>
    <w:rsid w:val="00681A42"/>
    <w:rsid w:val="00684BEB"/>
    <w:rsid w:val="006942F5"/>
    <w:rsid w:val="00695F13"/>
    <w:rsid w:val="00696897"/>
    <w:rsid w:val="006A1A4D"/>
    <w:rsid w:val="006A7AD7"/>
    <w:rsid w:val="006B0836"/>
    <w:rsid w:val="006B1EAE"/>
    <w:rsid w:val="006B42CC"/>
    <w:rsid w:val="006C07EB"/>
    <w:rsid w:val="006C361D"/>
    <w:rsid w:val="006C50E8"/>
    <w:rsid w:val="006F30BD"/>
    <w:rsid w:val="006F3A64"/>
    <w:rsid w:val="00717DEC"/>
    <w:rsid w:val="0072223E"/>
    <w:rsid w:val="0072484E"/>
    <w:rsid w:val="00725DEF"/>
    <w:rsid w:val="00726D5A"/>
    <w:rsid w:val="00732DB5"/>
    <w:rsid w:val="007341CB"/>
    <w:rsid w:val="00736349"/>
    <w:rsid w:val="0073700D"/>
    <w:rsid w:val="007373EB"/>
    <w:rsid w:val="007378C5"/>
    <w:rsid w:val="0075083A"/>
    <w:rsid w:val="00751659"/>
    <w:rsid w:val="00752A95"/>
    <w:rsid w:val="00767839"/>
    <w:rsid w:val="00770271"/>
    <w:rsid w:val="00771195"/>
    <w:rsid w:val="00772077"/>
    <w:rsid w:val="00772548"/>
    <w:rsid w:val="00776552"/>
    <w:rsid w:val="0078484C"/>
    <w:rsid w:val="00795366"/>
    <w:rsid w:val="007A2077"/>
    <w:rsid w:val="007A3E1B"/>
    <w:rsid w:val="007A68F0"/>
    <w:rsid w:val="007A70C0"/>
    <w:rsid w:val="007C0721"/>
    <w:rsid w:val="007C4EB6"/>
    <w:rsid w:val="007D13AC"/>
    <w:rsid w:val="007D5AFA"/>
    <w:rsid w:val="007D6485"/>
    <w:rsid w:val="007E7090"/>
    <w:rsid w:val="007F1E2B"/>
    <w:rsid w:val="007F27D0"/>
    <w:rsid w:val="007F33ED"/>
    <w:rsid w:val="007F3D68"/>
    <w:rsid w:val="007F4465"/>
    <w:rsid w:val="00803390"/>
    <w:rsid w:val="00803EE6"/>
    <w:rsid w:val="008079F2"/>
    <w:rsid w:val="008167FB"/>
    <w:rsid w:val="00817800"/>
    <w:rsid w:val="00827DDC"/>
    <w:rsid w:val="00837CD8"/>
    <w:rsid w:val="008463A1"/>
    <w:rsid w:val="0085239E"/>
    <w:rsid w:val="008556AA"/>
    <w:rsid w:val="00860316"/>
    <w:rsid w:val="00861DE0"/>
    <w:rsid w:val="0087695D"/>
    <w:rsid w:val="00880672"/>
    <w:rsid w:val="00893971"/>
    <w:rsid w:val="0089538F"/>
    <w:rsid w:val="008B1D8F"/>
    <w:rsid w:val="008D71D5"/>
    <w:rsid w:val="008E0969"/>
    <w:rsid w:val="008F2A20"/>
    <w:rsid w:val="008F7C4D"/>
    <w:rsid w:val="00913489"/>
    <w:rsid w:val="00924514"/>
    <w:rsid w:val="00932C7B"/>
    <w:rsid w:val="00935F8C"/>
    <w:rsid w:val="0093613B"/>
    <w:rsid w:val="00940E16"/>
    <w:rsid w:val="00942DB2"/>
    <w:rsid w:val="00944D60"/>
    <w:rsid w:val="00946578"/>
    <w:rsid w:val="00951430"/>
    <w:rsid w:val="00961693"/>
    <w:rsid w:val="00973C43"/>
    <w:rsid w:val="00977E15"/>
    <w:rsid w:val="00980302"/>
    <w:rsid w:val="009819C4"/>
    <w:rsid w:val="00982A8F"/>
    <w:rsid w:val="00982C8C"/>
    <w:rsid w:val="00991BF3"/>
    <w:rsid w:val="00991CE7"/>
    <w:rsid w:val="00995C40"/>
    <w:rsid w:val="009A6611"/>
    <w:rsid w:val="009B0083"/>
    <w:rsid w:val="009B074C"/>
    <w:rsid w:val="009B7A80"/>
    <w:rsid w:val="009C02F2"/>
    <w:rsid w:val="009C3481"/>
    <w:rsid w:val="009E72FD"/>
    <w:rsid w:val="009F4F6B"/>
    <w:rsid w:val="009F654D"/>
    <w:rsid w:val="009F656B"/>
    <w:rsid w:val="00A007C3"/>
    <w:rsid w:val="00A027AD"/>
    <w:rsid w:val="00A029BC"/>
    <w:rsid w:val="00A06444"/>
    <w:rsid w:val="00A135CD"/>
    <w:rsid w:val="00A13DBA"/>
    <w:rsid w:val="00A20D4E"/>
    <w:rsid w:val="00A2318D"/>
    <w:rsid w:val="00A2499D"/>
    <w:rsid w:val="00A35214"/>
    <w:rsid w:val="00A408B1"/>
    <w:rsid w:val="00A445D2"/>
    <w:rsid w:val="00A4542F"/>
    <w:rsid w:val="00A51BB1"/>
    <w:rsid w:val="00A57255"/>
    <w:rsid w:val="00A643B0"/>
    <w:rsid w:val="00A66E95"/>
    <w:rsid w:val="00A810DA"/>
    <w:rsid w:val="00A8119E"/>
    <w:rsid w:val="00A82EFF"/>
    <w:rsid w:val="00A83061"/>
    <w:rsid w:val="00A9039D"/>
    <w:rsid w:val="00A92C7C"/>
    <w:rsid w:val="00AA1E01"/>
    <w:rsid w:val="00AA29C6"/>
    <w:rsid w:val="00AA3089"/>
    <w:rsid w:val="00AB32C8"/>
    <w:rsid w:val="00AC0481"/>
    <w:rsid w:val="00AD016E"/>
    <w:rsid w:val="00AD0CF0"/>
    <w:rsid w:val="00AD385A"/>
    <w:rsid w:val="00AE05B4"/>
    <w:rsid w:val="00AE6C29"/>
    <w:rsid w:val="00B07CB8"/>
    <w:rsid w:val="00B16BB2"/>
    <w:rsid w:val="00B22D0A"/>
    <w:rsid w:val="00B24FA8"/>
    <w:rsid w:val="00B2574B"/>
    <w:rsid w:val="00B25EE2"/>
    <w:rsid w:val="00B26A89"/>
    <w:rsid w:val="00B36849"/>
    <w:rsid w:val="00B3751E"/>
    <w:rsid w:val="00B4032F"/>
    <w:rsid w:val="00B50397"/>
    <w:rsid w:val="00B566FB"/>
    <w:rsid w:val="00B57683"/>
    <w:rsid w:val="00B576C7"/>
    <w:rsid w:val="00B649D1"/>
    <w:rsid w:val="00B6565C"/>
    <w:rsid w:val="00B66615"/>
    <w:rsid w:val="00B671EE"/>
    <w:rsid w:val="00B8025E"/>
    <w:rsid w:val="00B8223A"/>
    <w:rsid w:val="00B84942"/>
    <w:rsid w:val="00B84DE6"/>
    <w:rsid w:val="00B9183D"/>
    <w:rsid w:val="00B96584"/>
    <w:rsid w:val="00BA067B"/>
    <w:rsid w:val="00BA06FC"/>
    <w:rsid w:val="00BA08E4"/>
    <w:rsid w:val="00BA16BE"/>
    <w:rsid w:val="00BA4841"/>
    <w:rsid w:val="00BA57AA"/>
    <w:rsid w:val="00BC79DB"/>
    <w:rsid w:val="00BD030F"/>
    <w:rsid w:val="00BD2B61"/>
    <w:rsid w:val="00BD3D2E"/>
    <w:rsid w:val="00BD4A29"/>
    <w:rsid w:val="00BD6F80"/>
    <w:rsid w:val="00BE2993"/>
    <w:rsid w:val="00BE3B5F"/>
    <w:rsid w:val="00BE5856"/>
    <w:rsid w:val="00BE66EB"/>
    <w:rsid w:val="00C029B6"/>
    <w:rsid w:val="00C16A57"/>
    <w:rsid w:val="00C17377"/>
    <w:rsid w:val="00C202C2"/>
    <w:rsid w:val="00C20B1A"/>
    <w:rsid w:val="00C24AF9"/>
    <w:rsid w:val="00C3398A"/>
    <w:rsid w:val="00C34F02"/>
    <w:rsid w:val="00C37A6E"/>
    <w:rsid w:val="00C6433F"/>
    <w:rsid w:val="00C6442E"/>
    <w:rsid w:val="00C71565"/>
    <w:rsid w:val="00C729B0"/>
    <w:rsid w:val="00C744B2"/>
    <w:rsid w:val="00C766E6"/>
    <w:rsid w:val="00C76747"/>
    <w:rsid w:val="00C87EC5"/>
    <w:rsid w:val="00C90C8A"/>
    <w:rsid w:val="00C911E0"/>
    <w:rsid w:val="00C918BD"/>
    <w:rsid w:val="00C93C89"/>
    <w:rsid w:val="00CA6FFD"/>
    <w:rsid w:val="00CC12DB"/>
    <w:rsid w:val="00CC4D25"/>
    <w:rsid w:val="00CC5201"/>
    <w:rsid w:val="00CD6305"/>
    <w:rsid w:val="00CE172A"/>
    <w:rsid w:val="00CE40DA"/>
    <w:rsid w:val="00CE782C"/>
    <w:rsid w:val="00CE7B63"/>
    <w:rsid w:val="00CF08BC"/>
    <w:rsid w:val="00D021F1"/>
    <w:rsid w:val="00D03CF7"/>
    <w:rsid w:val="00D11D28"/>
    <w:rsid w:val="00D14F39"/>
    <w:rsid w:val="00D2034D"/>
    <w:rsid w:val="00D221F5"/>
    <w:rsid w:val="00D22FD1"/>
    <w:rsid w:val="00D23633"/>
    <w:rsid w:val="00D33296"/>
    <w:rsid w:val="00D343F7"/>
    <w:rsid w:val="00D516A7"/>
    <w:rsid w:val="00D60A45"/>
    <w:rsid w:val="00D60B77"/>
    <w:rsid w:val="00D65974"/>
    <w:rsid w:val="00D70AA9"/>
    <w:rsid w:val="00D74E0F"/>
    <w:rsid w:val="00D74E67"/>
    <w:rsid w:val="00D8393F"/>
    <w:rsid w:val="00D840D8"/>
    <w:rsid w:val="00D90CB3"/>
    <w:rsid w:val="00D91086"/>
    <w:rsid w:val="00DA338E"/>
    <w:rsid w:val="00DA39A1"/>
    <w:rsid w:val="00DB2954"/>
    <w:rsid w:val="00DB32C4"/>
    <w:rsid w:val="00DB4691"/>
    <w:rsid w:val="00DD0742"/>
    <w:rsid w:val="00DD6837"/>
    <w:rsid w:val="00DD72C3"/>
    <w:rsid w:val="00DF5181"/>
    <w:rsid w:val="00DF68BC"/>
    <w:rsid w:val="00E02511"/>
    <w:rsid w:val="00E20642"/>
    <w:rsid w:val="00E21F43"/>
    <w:rsid w:val="00E2234B"/>
    <w:rsid w:val="00E32E20"/>
    <w:rsid w:val="00E3795E"/>
    <w:rsid w:val="00E456E7"/>
    <w:rsid w:val="00E46DDC"/>
    <w:rsid w:val="00E47ED9"/>
    <w:rsid w:val="00E51147"/>
    <w:rsid w:val="00E525E1"/>
    <w:rsid w:val="00E66C24"/>
    <w:rsid w:val="00E66F23"/>
    <w:rsid w:val="00E73EB3"/>
    <w:rsid w:val="00E7633E"/>
    <w:rsid w:val="00E77543"/>
    <w:rsid w:val="00E81DDF"/>
    <w:rsid w:val="00E95294"/>
    <w:rsid w:val="00E9622A"/>
    <w:rsid w:val="00EB4222"/>
    <w:rsid w:val="00EC016C"/>
    <w:rsid w:val="00EC3A9B"/>
    <w:rsid w:val="00ED2965"/>
    <w:rsid w:val="00EE179D"/>
    <w:rsid w:val="00EF371E"/>
    <w:rsid w:val="00EF499B"/>
    <w:rsid w:val="00EF4AF6"/>
    <w:rsid w:val="00F040A3"/>
    <w:rsid w:val="00F06517"/>
    <w:rsid w:val="00F253AB"/>
    <w:rsid w:val="00F27570"/>
    <w:rsid w:val="00F37B69"/>
    <w:rsid w:val="00F42E7D"/>
    <w:rsid w:val="00F45667"/>
    <w:rsid w:val="00F53E78"/>
    <w:rsid w:val="00F567ED"/>
    <w:rsid w:val="00F64C1F"/>
    <w:rsid w:val="00F66583"/>
    <w:rsid w:val="00F7005F"/>
    <w:rsid w:val="00F73DF0"/>
    <w:rsid w:val="00F80AA7"/>
    <w:rsid w:val="00F81CD1"/>
    <w:rsid w:val="00F845AC"/>
    <w:rsid w:val="00FA042B"/>
    <w:rsid w:val="00FB0336"/>
    <w:rsid w:val="00FC03CD"/>
    <w:rsid w:val="00FC1B8B"/>
    <w:rsid w:val="00FD3163"/>
    <w:rsid w:val="00FD32DC"/>
    <w:rsid w:val="00FE0AB3"/>
    <w:rsid w:val="00FE2039"/>
    <w:rsid w:val="00FF78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67088"/>
  <w15:chartTrackingRefBased/>
  <w15:docId w15:val="{5807F87A-2A37-40A2-9395-EC163F7E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0B3C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00383"/>
    <w:pPr>
      <w:tabs>
        <w:tab w:val="center" w:pos="4536"/>
        <w:tab w:val="right" w:pos="9072"/>
      </w:tabs>
      <w:spacing w:after="0" w:line="240" w:lineRule="auto"/>
    </w:pPr>
  </w:style>
  <w:style w:type="character" w:customStyle="1" w:styleId="En-tteCar">
    <w:name w:val="En-tête Car"/>
    <w:basedOn w:val="Policepardfaut"/>
    <w:link w:val="En-tte"/>
    <w:uiPriority w:val="99"/>
    <w:rsid w:val="00300383"/>
  </w:style>
  <w:style w:type="paragraph" w:styleId="Pieddepage">
    <w:name w:val="footer"/>
    <w:basedOn w:val="Normal"/>
    <w:link w:val="PieddepageCar"/>
    <w:unhideWhenUsed/>
    <w:rsid w:val="003003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0383"/>
  </w:style>
  <w:style w:type="character" w:styleId="Numrodepage">
    <w:name w:val="page number"/>
    <w:basedOn w:val="Policepardfaut"/>
    <w:rsid w:val="00B66615"/>
  </w:style>
  <w:style w:type="paragraph" w:styleId="Notedebasdepage">
    <w:name w:val="footnote text"/>
    <w:basedOn w:val="Normal"/>
    <w:link w:val="NotedebasdepageCar"/>
    <w:uiPriority w:val="99"/>
    <w:semiHidden/>
    <w:unhideWhenUsed/>
    <w:rsid w:val="006C36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C361D"/>
    <w:rPr>
      <w:sz w:val="20"/>
      <w:szCs w:val="20"/>
    </w:rPr>
  </w:style>
  <w:style w:type="character" w:styleId="Appelnotedebasdep">
    <w:name w:val="footnote reference"/>
    <w:basedOn w:val="Policepardfaut"/>
    <w:uiPriority w:val="99"/>
    <w:semiHidden/>
    <w:unhideWhenUsed/>
    <w:rsid w:val="006C361D"/>
    <w:rPr>
      <w:vertAlign w:val="superscript"/>
    </w:rPr>
  </w:style>
  <w:style w:type="character" w:styleId="Lienhypertexte">
    <w:name w:val="Hyperlink"/>
    <w:basedOn w:val="Policepardfaut"/>
    <w:uiPriority w:val="99"/>
    <w:unhideWhenUsed/>
    <w:rsid w:val="00A007C3"/>
    <w:rPr>
      <w:color w:val="0563C1" w:themeColor="hyperlink"/>
      <w:u w:val="single"/>
    </w:rPr>
  </w:style>
  <w:style w:type="character" w:styleId="Mentionnonrsolue">
    <w:name w:val="Unresolved Mention"/>
    <w:basedOn w:val="Policepardfaut"/>
    <w:uiPriority w:val="99"/>
    <w:semiHidden/>
    <w:unhideWhenUsed/>
    <w:rsid w:val="00A007C3"/>
    <w:rPr>
      <w:color w:val="605E5C"/>
      <w:shd w:val="clear" w:color="auto" w:fill="E1DFDD"/>
    </w:rPr>
  </w:style>
  <w:style w:type="paragraph" w:styleId="Paragraphedeliste">
    <w:name w:val="List Paragraph"/>
    <w:basedOn w:val="Normal"/>
    <w:uiPriority w:val="34"/>
    <w:qFormat/>
    <w:rsid w:val="001A5A99"/>
    <w:pPr>
      <w:ind w:left="720"/>
      <w:contextualSpacing/>
    </w:pPr>
  </w:style>
  <w:style w:type="table" w:styleId="Grilledutableau">
    <w:name w:val="Table Grid"/>
    <w:basedOn w:val="TableauNormal"/>
    <w:uiPriority w:val="39"/>
    <w:rsid w:val="007E70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cs="Mangal"/>
      <w:sz w:val="24"/>
      <w:szCs w:val="24"/>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sid w:val="007E7090"/>
    <w:rPr>
      <w:sz w:val="16"/>
      <w:szCs w:val="16"/>
    </w:rPr>
  </w:style>
  <w:style w:type="paragraph" w:styleId="Commentaire">
    <w:name w:val="annotation text"/>
    <w:basedOn w:val="Normal"/>
    <w:link w:val="CommentaireCar"/>
    <w:uiPriority w:val="99"/>
    <w:semiHidden/>
    <w:unhideWhenUsed/>
    <w:rsid w:val="007E7090"/>
    <w:pPr>
      <w:spacing w:line="240" w:lineRule="auto"/>
    </w:pPr>
    <w:rPr>
      <w:sz w:val="20"/>
      <w:szCs w:val="20"/>
    </w:rPr>
  </w:style>
  <w:style w:type="character" w:customStyle="1" w:styleId="CommentaireCar">
    <w:name w:val="Commentaire Car"/>
    <w:basedOn w:val="Policepardfaut"/>
    <w:link w:val="Commentaire"/>
    <w:uiPriority w:val="99"/>
    <w:semiHidden/>
    <w:rsid w:val="007E7090"/>
    <w:rPr>
      <w:sz w:val="20"/>
      <w:szCs w:val="20"/>
    </w:rPr>
  </w:style>
  <w:style w:type="paragraph" w:styleId="Objetducommentaire">
    <w:name w:val="annotation subject"/>
    <w:basedOn w:val="Commentaire"/>
    <w:next w:val="Commentaire"/>
    <w:link w:val="ObjetducommentaireCar"/>
    <w:uiPriority w:val="99"/>
    <w:semiHidden/>
    <w:unhideWhenUsed/>
    <w:rsid w:val="007E7090"/>
    <w:rPr>
      <w:b/>
      <w:bCs/>
    </w:rPr>
  </w:style>
  <w:style w:type="character" w:customStyle="1" w:styleId="ObjetducommentaireCar">
    <w:name w:val="Objet du commentaire Car"/>
    <w:basedOn w:val="CommentaireCar"/>
    <w:link w:val="Objetducommentaire"/>
    <w:uiPriority w:val="99"/>
    <w:semiHidden/>
    <w:rsid w:val="007E7090"/>
    <w:rPr>
      <w:b/>
      <w:bCs/>
      <w:sz w:val="20"/>
      <w:szCs w:val="20"/>
    </w:rPr>
  </w:style>
  <w:style w:type="character" w:customStyle="1" w:styleId="Titre2Car">
    <w:name w:val="Titre 2 Car"/>
    <w:basedOn w:val="Policepardfaut"/>
    <w:link w:val="Titre2"/>
    <w:uiPriority w:val="9"/>
    <w:rsid w:val="000B3CC4"/>
    <w:rPr>
      <w:rFonts w:asciiTheme="majorHAnsi" w:eastAsiaTheme="majorEastAsia" w:hAnsiTheme="majorHAnsi" w:cstheme="majorBidi"/>
      <w:color w:val="2F5496" w:themeColor="accent1" w:themeShade="BF"/>
      <w:sz w:val="26"/>
      <w:szCs w:val="26"/>
    </w:rPr>
  </w:style>
  <w:style w:type="character" w:styleId="Lienhypertextesuivivisit">
    <w:name w:val="FollowedHyperlink"/>
    <w:basedOn w:val="Policepardfaut"/>
    <w:uiPriority w:val="99"/>
    <w:semiHidden/>
    <w:unhideWhenUsed/>
    <w:rsid w:val="00330FC3"/>
    <w:rPr>
      <w:color w:val="954F72" w:themeColor="followedHyperlink"/>
      <w:u w:val="single"/>
    </w:rPr>
  </w:style>
  <w:style w:type="paragraph" w:styleId="NormalWeb">
    <w:name w:val="Normal (Web)"/>
    <w:basedOn w:val="Normal"/>
    <w:uiPriority w:val="99"/>
    <w:semiHidden/>
    <w:unhideWhenUsed/>
    <w:rsid w:val="0026210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144D6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4D6B"/>
    <w:rPr>
      <w:rFonts w:ascii="Segoe UI" w:hAnsi="Segoe UI" w:cs="Segoe UI"/>
      <w:sz w:val="18"/>
      <w:szCs w:val="18"/>
    </w:rPr>
  </w:style>
  <w:style w:type="paragraph" w:styleId="Sansinterligne">
    <w:name w:val="No Spacing"/>
    <w:uiPriority w:val="1"/>
    <w:qFormat/>
    <w:rsid w:val="00BA067B"/>
    <w:pPr>
      <w:spacing w:after="0" w:line="240" w:lineRule="auto"/>
    </w:pPr>
  </w:style>
  <w:style w:type="character" w:styleId="Textedelespacerserv">
    <w:name w:val="Placeholder Text"/>
    <w:basedOn w:val="Policepardfaut"/>
    <w:uiPriority w:val="99"/>
    <w:semiHidden/>
    <w:rsid w:val="008F7C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33208">
      <w:bodyDiv w:val="1"/>
      <w:marLeft w:val="0"/>
      <w:marRight w:val="0"/>
      <w:marTop w:val="0"/>
      <w:marBottom w:val="0"/>
      <w:divBdr>
        <w:top w:val="none" w:sz="0" w:space="0" w:color="auto"/>
        <w:left w:val="none" w:sz="0" w:space="0" w:color="auto"/>
        <w:bottom w:val="none" w:sz="0" w:space="0" w:color="auto"/>
        <w:right w:val="none" w:sz="0" w:space="0" w:color="auto"/>
      </w:divBdr>
    </w:div>
    <w:div w:id="1137332826">
      <w:bodyDiv w:val="1"/>
      <w:marLeft w:val="0"/>
      <w:marRight w:val="0"/>
      <w:marTop w:val="0"/>
      <w:marBottom w:val="0"/>
      <w:divBdr>
        <w:top w:val="none" w:sz="0" w:space="0" w:color="auto"/>
        <w:left w:val="none" w:sz="0" w:space="0" w:color="auto"/>
        <w:bottom w:val="none" w:sz="0" w:space="0" w:color="auto"/>
        <w:right w:val="none" w:sz="0" w:space="0" w:color="auto"/>
      </w:divBdr>
      <w:divsChild>
        <w:div w:id="155808170">
          <w:marLeft w:val="1627"/>
          <w:marRight w:val="0"/>
          <w:marTop w:val="100"/>
          <w:marBottom w:val="0"/>
          <w:divBdr>
            <w:top w:val="none" w:sz="0" w:space="0" w:color="auto"/>
            <w:left w:val="none" w:sz="0" w:space="0" w:color="auto"/>
            <w:bottom w:val="none" w:sz="0" w:space="0" w:color="auto"/>
            <w:right w:val="none" w:sz="0" w:space="0" w:color="auto"/>
          </w:divBdr>
        </w:div>
      </w:divsChild>
    </w:div>
    <w:div w:id="1272057385">
      <w:bodyDiv w:val="1"/>
      <w:marLeft w:val="0"/>
      <w:marRight w:val="0"/>
      <w:marTop w:val="0"/>
      <w:marBottom w:val="0"/>
      <w:divBdr>
        <w:top w:val="none" w:sz="0" w:space="0" w:color="auto"/>
        <w:left w:val="none" w:sz="0" w:space="0" w:color="auto"/>
        <w:bottom w:val="none" w:sz="0" w:space="0" w:color="auto"/>
        <w:right w:val="none" w:sz="0" w:space="0" w:color="auto"/>
      </w:divBdr>
    </w:div>
    <w:div w:id="1377848380">
      <w:bodyDiv w:val="1"/>
      <w:marLeft w:val="0"/>
      <w:marRight w:val="0"/>
      <w:marTop w:val="0"/>
      <w:marBottom w:val="0"/>
      <w:divBdr>
        <w:top w:val="none" w:sz="0" w:space="0" w:color="auto"/>
        <w:left w:val="none" w:sz="0" w:space="0" w:color="auto"/>
        <w:bottom w:val="none" w:sz="0" w:space="0" w:color="auto"/>
        <w:right w:val="none" w:sz="0" w:space="0" w:color="auto"/>
      </w:divBdr>
      <w:divsChild>
        <w:div w:id="414328913">
          <w:marLeft w:val="1627"/>
          <w:marRight w:val="0"/>
          <w:marTop w:val="100"/>
          <w:marBottom w:val="0"/>
          <w:divBdr>
            <w:top w:val="none" w:sz="0" w:space="0" w:color="auto"/>
            <w:left w:val="none" w:sz="0" w:space="0" w:color="auto"/>
            <w:bottom w:val="none" w:sz="0" w:space="0" w:color="auto"/>
            <w:right w:val="none" w:sz="0" w:space="0" w:color="auto"/>
          </w:divBdr>
        </w:div>
      </w:divsChild>
    </w:div>
    <w:div w:id="1777288588">
      <w:bodyDiv w:val="1"/>
      <w:marLeft w:val="0"/>
      <w:marRight w:val="0"/>
      <w:marTop w:val="0"/>
      <w:marBottom w:val="0"/>
      <w:divBdr>
        <w:top w:val="none" w:sz="0" w:space="0" w:color="auto"/>
        <w:left w:val="none" w:sz="0" w:space="0" w:color="auto"/>
        <w:bottom w:val="none" w:sz="0" w:space="0" w:color="auto"/>
        <w:right w:val="none" w:sz="0" w:space="0" w:color="auto"/>
      </w:divBdr>
      <w:divsChild>
        <w:div w:id="1091781055">
          <w:marLeft w:val="1627"/>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competition/state_aid/legislation/de_minimis_regulation_en.pdf" TargetMode="External"/><Relationship Id="rId13" Type="http://schemas.openxmlformats.org/officeDocument/2006/relationships/hyperlink" Target="http://www.innoviris.brusse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vautrin@innoviris.brusse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martzloff@innoviris.brusse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littre@innoviris.brussels" TargetMode="External"/><Relationship Id="rId4" Type="http://schemas.openxmlformats.org/officeDocument/2006/relationships/settings" Target="settings.xml"/><Relationship Id="rId9" Type="http://schemas.openxmlformats.org/officeDocument/2006/relationships/hyperlink" Target="https://eur-lex.europa.eu/LexUriServ/LexUriServ.do?uri=OJ:L:2003:124:0036:0041:EN: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F02A5-21D3-4E1B-AC81-DEADC41B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1273</Words>
  <Characters>7007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Vekemans</dc:creator>
  <cp:keywords/>
  <dc:description/>
  <cp:lastModifiedBy>Gilles Ysebaert</cp:lastModifiedBy>
  <cp:revision>19</cp:revision>
  <dcterms:created xsi:type="dcterms:W3CDTF">2021-08-30T12:28:00Z</dcterms:created>
  <dcterms:modified xsi:type="dcterms:W3CDTF">2021-11-17T12:53:00Z</dcterms:modified>
</cp:coreProperties>
</file>