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AB3" w14:textId="0E777EEC" w:rsidR="00CC4D25" w:rsidRPr="003C5506" w:rsidRDefault="00F945A9" w:rsidP="007F3D6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SimSun" w:hAnsi="Arial" w:cs="Mangal"/>
          <w:b/>
          <w:smallCaps/>
          <w:sz w:val="40"/>
          <w:szCs w:val="30"/>
          <w:lang w:val="nl-BE" w:eastAsia="zh-CN" w:bidi="hi-IN"/>
        </w:rPr>
      </w:pPr>
      <w:r w:rsidRPr="00CF5FA7">
        <w:rPr>
          <w:rFonts w:ascii="Arial" w:eastAsia="SimSun" w:hAnsi="Arial" w:cs="Mangal"/>
          <w:b/>
          <w:smallCaps/>
          <w:sz w:val="40"/>
          <w:szCs w:val="30"/>
          <w:lang w:val="nl-BE" w:eastAsia="zh-CN" w:bidi="hi-IN"/>
        </w:rPr>
        <w:t>Verordening</w:t>
      </w:r>
    </w:p>
    <w:p w14:paraId="630446EF" w14:textId="57022E2A" w:rsidR="00BD4A29" w:rsidRPr="003C5506" w:rsidRDefault="007825B2" w:rsidP="007F3D6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SimSun" w:hAnsi="Arial" w:cs="Mangal"/>
          <w:b/>
          <w:smallCaps/>
          <w:sz w:val="40"/>
          <w:szCs w:val="30"/>
          <w:lang w:val="nl-BE" w:eastAsia="zh-CN" w:bidi="hi-IN"/>
        </w:rPr>
      </w:pPr>
      <w:r w:rsidRPr="003C5506">
        <w:rPr>
          <w:rFonts w:ascii="Arial" w:eastAsia="SimSun" w:hAnsi="Arial" w:cs="Mangal"/>
          <w:b/>
          <w:smallCaps/>
          <w:sz w:val="40"/>
          <w:szCs w:val="30"/>
          <w:lang w:val="nl-BE" w:eastAsia="zh-CN" w:bidi="hi-IN"/>
        </w:rPr>
        <w:t>Patents</w:t>
      </w:r>
      <w:r w:rsidR="00560831" w:rsidRPr="003C5506">
        <w:rPr>
          <w:rFonts w:ascii="Arial" w:eastAsia="SimSun" w:hAnsi="Arial" w:cs="Mangal"/>
          <w:b/>
          <w:smallCaps/>
          <w:sz w:val="40"/>
          <w:szCs w:val="30"/>
          <w:lang w:val="nl-BE" w:eastAsia="zh-CN" w:bidi="hi-IN"/>
        </w:rPr>
        <w:t xml:space="preserve"> </w:t>
      </w:r>
      <w:r w:rsidR="00560831" w:rsidRPr="003C5506">
        <w:rPr>
          <w:rFonts w:ascii="Arial" w:hAnsi="Arial" w:cs="Arial"/>
          <w:b/>
          <w:sz w:val="40"/>
          <w:szCs w:val="40"/>
          <w:lang w:val="nl-BE"/>
        </w:rPr>
        <w:t>(</w:t>
      </w:r>
      <w:r w:rsidR="00560831" w:rsidRPr="003C5506">
        <w:rPr>
          <w:rFonts w:ascii="Arial" w:hAnsi="Arial" w:cs="Arial"/>
          <w:b/>
          <w:sz w:val="40"/>
          <w:szCs w:val="40"/>
          <w:lang w:val="nl-BE"/>
        </w:rPr>
        <w:fldChar w:fldCharType="begin"/>
      </w:r>
      <w:r w:rsidR="00560831" w:rsidRPr="003C5506">
        <w:rPr>
          <w:rFonts w:ascii="Arial" w:hAnsi="Arial" w:cs="Arial"/>
          <w:b/>
          <w:sz w:val="40"/>
          <w:szCs w:val="40"/>
          <w:lang w:val="nl-BE"/>
        </w:rPr>
        <w:instrText xml:space="preserve"> date \@ "YYYY" </w:instrText>
      </w:r>
      <w:r w:rsidR="00560831" w:rsidRPr="003C5506">
        <w:rPr>
          <w:rFonts w:ascii="Arial" w:hAnsi="Arial" w:cs="Arial"/>
          <w:b/>
          <w:sz w:val="40"/>
          <w:szCs w:val="40"/>
          <w:lang w:val="nl-BE"/>
        </w:rPr>
        <w:fldChar w:fldCharType="separate"/>
      </w:r>
      <w:r w:rsidR="00CF5FA7">
        <w:rPr>
          <w:rFonts w:ascii="Arial" w:hAnsi="Arial" w:cs="Arial"/>
          <w:b/>
          <w:noProof/>
          <w:sz w:val="40"/>
          <w:szCs w:val="40"/>
          <w:lang w:val="nl-BE"/>
        </w:rPr>
        <w:t>2021</w:t>
      </w:r>
      <w:r w:rsidR="00560831" w:rsidRPr="003C5506">
        <w:rPr>
          <w:rFonts w:ascii="Arial" w:hAnsi="Arial" w:cs="Arial"/>
          <w:b/>
          <w:sz w:val="40"/>
          <w:szCs w:val="40"/>
          <w:lang w:val="nl-BE"/>
        </w:rPr>
        <w:fldChar w:fldCharType="end"/>
      </w:r>
      <w:r w:rsidR="00560831" w:rsidRPr="003C5506">
        <w:rPr>
          <w:rFonts w:ascii="Arial" w:hAnsi="Arial" w:cs="Arial"/>
          <w:b/>
          <w:sz w:val="40"/>
          <w:szCs w:val="40"/>
          <w:lang w:val="nl-BE"/>
        </w:rPr>
        <w:t>)</w:t>
      </w:r>
    </w:p>
    <w:p w14:paraId="3B7A5CCC" w14:textId="6046C883" w:rsidR="00C71565" w:rsidRPr="003C5506" w:rsidRDefault="00C71565">
      <w:pPr>
        <w:rPr>
          <w:lang w:val="nl-BE"/>
        </w:rPr>
      </w:pPr>
    </w:p>
    <w:p w14:paraId="16873198" w14:textId="25726626" w:rsidR="00C71565" w:rsidRPr="006E1739" w:rsidRDefault="000C7D95">
      <w:pPr>
        <w:rPr>
          <w:rFonts w:ascii="Arial" w:hAnsi="Arial" w:cs="Arial"/>
          <w:b/>
          <w:bCs/>
          <w:color w:val="004586"/>
          <w:sz w:val="28"/>
          <w:szCs w:val="28"/>
          <w:lang w:val="nl-BE"/>
        </w:rPr>
      </w:pPr>
      <w:r w:rsidRPr="00CF5FA7">
        <w:rPr>
          <w:rFonts w:ascii="Arial" w:hAnsi="Arial" w:cs="Arial"/>
          <w:b/>
          <w:bCs/>
          <w:color w:val="004586"/>
          <w:sz w:val="28"/>
          <w:szCs w:val="28"/>
          <w:lang w:val="nl-BE"/>
        </w:rPr>
        <w:t>Inleidende nota</w:t>
      </w:r>
    </w:p>
    <w:p w14:paraId="00E99043" w14:textId="77777777" w:rsidR="00460960" w:rsidRPr="00460960" w:rsidRDefault="00460960" w:rsidP="00460960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bookmarkStart w:id="0" w:name="_Toc80361707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Dit document bevat het reglement en het formulier met betrekking tot het steunprogramma PATENTS van Innoviris (steun voor Brusselse kmo's bij een nationale en/of internationale </w:t>
      </w:r>
      <w:proofErr w:type="gramStart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PCT octrooiaanvraag</w:t>
      </w:r>
      <w:proofErr w:type="gramEnd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).</w:t>
      </w:r>
    </w:p>
    <w:p w14:paraId="1B5014F0" w14:textId="77777777" w:rsidR="00460960" w:rsidRPr="00460960" w:rsidRDefault="00460960" w:rsidP="00460960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</w:p>
    <w:p w14:paraId="6A3FF050" w14:textId="77777777" w:rsidR="00460960" w:rsidRPr="00460960" w:rsidRDefault="00460960" w:rsidP="00460960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Vooraleer van start te gaan met de kostelijke procedure van </w:t>
      </w:r>
      <w:proofErr w:type="spellStart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octrooiering</w:t>
      </w:r>
      <w:proofErr w:type="spellEnd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(van enkele duizenden euro’s tot meer dan 100k euro afhankelijk van de markten in kwestie) is het belangrijk voor de onderneming:</w:t>
      </w:r>
    </w:p>
    <w:p w14:paraId="31F30A16" w14:textId="77777777" w:rsidR="00460960" w:rsidRPr="00460960" w:rsidRDefault="00460960" w:rsidP="00460960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</w:p>
    <w:p w14:paraId="53D6C80E" w14:textId="4CAB7CE0" w:rsidR="00460960" w:rsidRPr="00460960" w:rsidRDefault="00460960" w:rsidP="00460960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3C550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Dat</w:t>
      </w:r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een algemene strategie wordt bepaald voor het beheer van intellectuele eigendom; </w:t>
      </w:r>
    </w:p>
    <w:p w14:paraId="71C5A7A9" w14:textId="2FFE8AEA" w:rsidR="00460960" w:rsidRPr="00460960" w:rsidRDefault="00460960" w:rsidP="00460960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3C550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Dat</w:t>
      </w:r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het valorisatiepotentieel van de beoogde uitvinding wordt bestudeerd, de verschillende vormen van bescherming worden nagegaan dat de intellectuele eigendomsrechten bieden en een onderzoek wordt gedaan naar de vrijheid van exploitatie (</w:t>
      </w:r>
      <w:proofErr w:type="spellStart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freedom</w:t>
      </w:r>
      <w:proofErr w:type="spellEnd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</w:t>
      </w:r>
      <w:proofErr w:type="spellStart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to</w:t>
      </w:r>
      <w:proofErr w:type="spellEnd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</w:t>
      </w:r>
      <w:proofErr w:type="spellStart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operate</w:t>
      </w:r>
      <w:proofErr w:type="spellEnd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of FTO); </w:t>
      </w:r>
    </w:p>
    <w:p w14:paraId="7FF17B5D" w14:textId="14CDB4FD" w:rsidR="00460960" w:rsidRPr="00460960" w:rsidRDefault="00460960" w:rsidP="00A962B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3C550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Dat</w:t>
      </w:r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, indien gekozen wordt voor een </w:t>
      </w:r>
      <w:proofErr w:type="spellStart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octrooiering</w:t>
      </w:r>
      <w:proofErr w:type="spellEnd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, een voorafgaande studie wordt verricht om een octrooistrategie te bepalen (eventueel met de hulp van een professionele octrooigemachtigde) die geschikt is voor wat betreft de procedure en de geografische aspecten.</w:t>
      </w:r>
    </w:p>
    <w:p w14:paraId="6E16ACB2" w14:textId="77777777" w:rsidR="00460960" w:rsidRPr="00460960" w:rsidRDefault="00460960" w:rsidP="00460960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</w:p>
    <w:p w14:paraId="76EC2A10" w14:textId="2A194AA3" w:rsidR="00460960" w:rsidRPr="00460960" w:rsidRDefault="00460960" w:rsidP="00460960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Er dient te worden opgemerkt dat Innoviris 75% van de kosten (met een plafond van 10k euro) kan dekken die voortkomen uit de onderzoeken naar vrijheid van exploitatie en uit de voorafgaande studies en dit via zijn steunprogramma ‘</w:t>
      </w:r>
      <w:proofErr w:type="spellStart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Innovation</w:t>
      </w:r>
      <w:proofErr w:type="spellEnd"/>
      <w:r w:rsidRPr="00460960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Vouchers’. Meer informatie vind je hier: </w:t>
      </w:r>
      <w:r w:rsidR="00F551AB">
        <w:fldChar w:fldCharType="begin"/>
      </w:r>
      <w:r w:rsidR="00F551AB" w:rsidRPr="00CF5FA7">
        <w:rPr>
          <w:lang w:val="nl-BE"/>
        </w:rPr>
        <w:instrText xml:space="preserve"> HYPERLINK "https://innoviris.brussels/nl/innovation-vouchers" </w:instrText>
      </w:r>
      <w:r w:rsidR="00F551AB">
        <w:fldChar w:fldCharType="separate"/>
      </w:r>
      <w:r w:rsidR="003C5506" w:rsidRPr="00F05725">
        <w:rPr>
          <w:rStyle w:val="Lienhypertexte"/>
          <w:rFonts w:ascii="Arial" w:eastAsia="SimSun" w:hAnsi="Arial" w:cs="Mangal"/>
          <w:kern w:val="1"/>
          <w:sz w:val="20"/>
          <w:szCs w:val="24"/>
          <w:lang w:val="nl-BE" w:eastAsia="zh-CN" w:bidi="hi-IN"/>
        </w:rPr>
        <w:t>https://innoviris.brussels/nl/innovation-vouchers</w:t>
      </w:r>
      <w:r w:rsidR="00F551AB">
        <w:rPr>
          <w:rStyle w:val="Lienhypertexte"/>
          <w:rFonts w:ascii="Arial" w:eastAsia="SimSun" w:hAnsi="Arial" w:cs="Mangal"/>
          <w:kern w:val="1"/>
          <w:sz w:val="20"/>
          <w:szCs w:val="24"/>
          <w:lang w:val="nl-BE" w:eastAsia="zh-CN" w:bidi="hi-IN"/>
        </w:rPr>
        <w:fldChar w:fldCharType="end"/>
      </w:r>
      <w:r w:rsidR="003C5506">
        <w:rPr>
          <w:rFonts w:ascii="Arial" w:eastAsia="SimSun" w:hAnsi="Arial" w:cs="Mangal"/>
          <w:kern w:val="1"/>
          <w:sz w:val="20"/>
          <w:szCs w:val="24"/>
          <w:lang w:val="nl-BE" w:eastAsia="zh-CN" w:bidi="hi-IN"/>
        </w:rPr>
        <w:t xml:space="preserve"> </w:t>
      </w:r>
    </w:p>
    <w:p w14:paraId="27E8F23D" w14:textId="77777777" w:rsidR="00F95F58" w:rsidRPr="003C5506" w:rsidRDefault="00F95F58" w:rsidP="00F95F58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</w:p>
    <w:bookmarkEnd w:id="0"/>
    <w:p w14:paraId="0C0964F1" w14:textId="1AC0890A" w:rsidR="007825B2" w:rsidRPr="006E1739" w:rsidRDefault="009F02AA" w:rsidP="007825B2">
      <w:pPr>
        <w:rPr>
          <w:rFonts w:ascii="Arial" w:hAnsi="Arial" w:cs="Arial"/>
          <w:b/>
          <w:color w:val="004586"/>
          <w:sz w:val="28"/>
          <w:szCs w:val="28"/>
          <w:lang w:val="nl-BE"/>
        </w:rPr>
      </w:pPr>
      <w:r w:rsidRPr="006E1739">
        <w:rPr>
          <w:rFonts w:ascii="Arial" w:hAnsi="Arial" w:cs="Arial"/>
          <w:b/>
          <w:bCs/>
          <w:color w:val="004586"/>
          <w:sz w:val="28"/>
          <w:szCs w:val="28"/>
          <w:lang w:val="nl-BE"/>
        </w:rPr>
        <w:t>Doelstelling</w:t>
      </w:r>
    </w:p>
    <w:p w14:paraId="15123D24" w14:textId="77777777" w:rsidR="004A3C75" w:rsidRPr="004A3C75" w:rsidRDefault="004A3C75" w:rsidP="004A3C75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4A3C75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Innoviris biedt steun aan bij een nationale en/of internationale </w:t>
      </w:r>
      <w:proofErr w:type="gramStart"/>
      <w:r w:rsidRPr="004A3C75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PCT octrooiaanvraag</w:t>
      </w:r>
      <w:proofErr w:type="gramEnd"/>
      <w:r w:rsidRPr="004A3C75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om de valorisatie van R&amp;D-inspanningen van Brusselse kmo’s te stimuleren. Deze steun dekt gedeeltelijk de kosten van een octrooiaanvraag.</w:t>
      </w:r>
    </w:p>
    <w:p w14:paraId="57EE108A" w14:textId="77777777" w:rsidR="003375DF" w:rsidRPr="003C5506" w:rsidRDefault="003375DF" w:rsidP="003375DF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</w:p>
    <w:p w14:paraId="39650AD2" w14:textId="5B8FADA3" w:rsidR="007825B2" w:rsidRPr="006E1739" w:rsidRDefault="00F80331" w:rsidP="007825B2">
      <w:pPr>
        <w:jc w:val="both"/>
        <w:rPr>
          <w:rFonts w:ascii="Arial" w:eastAsia="Arial" w:hAnsi="Arial" w:cs="Arial"/>
          <w:color w:val="004586"/>
          <w:sz w:val="28"/>
          <w:szCs w:val="28"/>
          <w:lang w:val="nl-BE"/>
        </w:rPr>
      </w:pPr>
      <w:r w:rsidRPr="006E1739">
        <w:rPr>
          <w:rFonts w:ascii="Arial" w:hAnsi="Arial" w:cs="Arial"/>
          <w:b/>
          <w:bCs/>
          <w:color w:val="004586"/>
          <w:sz w:val="28"/>
          <w:szCs w:val="28"/>
          <w:lang w:val="nl-BE"/>
        </w:rPr>
        <w:t>Voorwaarden</w:t>
      </w:r>
    </w:p>
    <w:p w14:paraId="2D9E34AC" w14:textId="63348AC5" w:rsidR="00E46A08" w:rsidRPr="003C5506" w:rsidRDefault="00E46A08" w:rsidP="00E46A08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</w:pPr>
      <w:r w:rsidRPr="00E46A08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Wanneer kom je in aanmerking? </w:t>
      </w:r>
    </w:p>
    <w:p w14:paraId="71BC80F4" w14:textId="77777777" w:rsidR="00E46A08" w:rsidRPr="00E46A08" w:rsidRDefault="00E46A08" w:rsidP="00E46A08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</w:p>
    <w:p w14:paraId="29577F28" w14:textId="1C96B2DE" w:rsidR="00E46A08" w:rsidRPr="00E46A08" w:rsidRDefault="00E46A08" w:rsidP="00E46A0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E46A08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Je bent een kmo met activiteiten in het Brussels Hoofdstedelijk Gewest</w:t>
      </w:r>
    </w:p>
    <w:p w14:paraId="1CB5DEC0" w14:textId="52FC6D02" w:rsidR="00E46A08" w:rsidRPr="00E46A08" w:rsidRDefault="00E46A08" w:rsidP="00E46A0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E46A08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Je onderneming kent geen moeilijkheden, overeenkomstig de Europese Richtlijn</w:t>
      </w:r>
    </w:p>
    <w:p w14:paraId="082F2E97" w14:textId="396BD888" w:rsidR="00E46A08" w:rsidRPr="00E46A08" w:rsidRDefault="00E46A08" w:rsidP="00E46A0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E46A08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Alle verplichtingen zijn nagekomen in het kader van een eventuele eerdere gewestelijke steun voor een octrooi</w:t>
      </w:r>
    </w:p>
    <w:p w14:paraId="151B0B3C" w14:textId="3ED90309" w:rsidR="00E46A08" w:rsidRPr="00E46A08" w:rsidRDefault="00E46A08" w:rsidP="00E46A0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E46A08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Aantonen dat de onderneming haar eigen aandeel in het project kan financieren</w:t>
      </w:r>
    </w:p>
    <w:p w14:paraId="5EEB8932" w14:textId="26564FF4" w:rsidR="00840A4C" w:rsidRPr="003C5506" w:rsidRDefault="00E46A08" w:rsidP="00E46A0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proofErr w:type="gramStart"/>
      <w:r w:rsidRPr="00E46A08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Indien</w:t>
      </w:r>
      <w:proofErr w:type="gramEnd"/>
      <w:r w:rsidRPr="00E46A08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de hulp van een octrooigemachtigde wordt ingeschakeld, moet hij officieel erkend zijn door de Dienst voor de Intellectuele Eigendom (DIE) of door het Europees Octrooibureau (EOB)</w:t>
      </w:r>
    </w:p>
    <w:p w14:paraId="4E613F12" w14:textId="14A3AC55" w:rsidR="007825B2" w:rsidRPr="003C5506" w:rsidRDefault="00E46A08" w:rsidP="00E46A0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3C550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De octrooiaanvraag (of het nu gaat om een eerste depot (prioritaire aanvraag) of om een internationale </w:t>
      </w:r>
      <w:proofErr w:type="gramStart"/>
      <w:r w:rsidRPr="003C550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PCT aanvraag</w:t>
      </w:r>
      <w:proofErr w:type="gramEnd"/>
      <w:r w:rsidRPr="003C550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) mag niet ingediend worden vóór de steunaanvraag</w:t>
      </w:r>
    </w:p>
    <w:p w14:paraId="6616FDF6" w14:textId="77777777" w:rsidR="00840A4C" w:rsidRPr="003C5506" w:rsidRDefault="00840A4C" w:rsidP="00840A4C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</w:p>
    <w:p w14:paraId="15573216" w14:textId="537C2E6E" w:rsidR="007825B2" w:rsidRPr="006E1739" w:rsidRDefault="004A77D8" w:rsidP="007825B2">
      <w:pPr>
        <w:jc w:val="both"/>
        <w:rPr>
          <w:rFonts w:ascii="Arial" w:eastAsia="Arial" w:hAnsi="Arial" w:cs="Arial"/>
          <w:color w:val="004586"/>
          <w:sz w:val="28"/>
          <w:szCs w:val="28"/>
          <w:lang w:val="nl-BE"/>
        </w:rPr>
      </w:pPr>
      <w:r w:rsidRPr="006E1739">
        <w:rPr>
          <w:rFonts w:ascii="Arial" w:hAnsi="Arial" w:cs="Arial"/>
          <w:b/>
          <w:bCs/>
          <w:color w:val="004586"/>
          <w:sz w:val="28"/>
          <w:szCs w:val="28"/>
          <w:lang w:val="nl-BE"/>
        </w:rPr>
        <w:t>Evaluatie</w:t>
      </w:r>
    </w:p>
    <w:p w14:paraId="1F32A0E5" w14:textId="2CFD018A" w:rsidR="001D1216" w:rsidRPr="003C5506" w:rsidRDefault="001D1216" w:rsidP="001D1216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</w:pPr>
      <w:r w:rsidRPr="001D121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De evaluatiecriteria voor de toekenning van een subsidie en het bedrag van die subsidie zijn:</w:t>
      </w:r>
    </w:p>
    <w:p w14:paraId="0130D910" w14:textId="77777777" w:rsidR="001D1216" w:rsidRPr="001D1216" w:rsidRDefault="001D1216" w:rsidP="001D1216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</w:pPr>
    </w:p>
    <w:p w14:paraId="74532830" w14:textId="4A03EAB1" w:rsidR="001D1216" w:rsidRPr="001D1216" w:rsidRDefault="001D1216" w:rsidP="001D1216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1D1216"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  <w:t>Het innovatieve karakter van de technische oplossing die het octrooi biedt</w:t>
      </w:r>
    </w:p>
    <w:p w14:paraId="35399FB7" w14:textId="67D977AF" w:rsidR="001D1216" w:rsidRPr="001D1216" w:rsidRDefault="001D1216" w:rsidP="001D121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1D121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De toepasselijkheid en de haalbaarheid van de octrooiaanvraag</w:t>
      </w:r>
    </w:p>
    <w:p w14:paraId="7EB10711" w14:textId="1CD17587" w:rsidR="001D1216" w:rsidRPr="001D1216" w:rsidRDefault="001D1216" w:rsidP="001D121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1D121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Het nut van het/de octrooi/uitbreiding in de innovatie- en de commerciële strategie van de onderneming</w:t>
      </w:r>
    </w:p>
    <w:p w14:paraId="68692457" w14:textId="2A9686AC" w:rsidR="001D1216" w:rsidRPr="001D1216" w:rsidRDefault="001D1216" w:rsidP="001D121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1D121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De valorisatieperspectieven het octrooi en de impact op de economie, de werkgelegenheid of de duurzame ontwikkeling van het Brussels Gewest</w:t>
      </w:r>
    </w:p>
    <w:p w14:paraId="1F0088B5" w14:textId="77777777" w:rsidR="007825B2" w:rsidRPr="003C5506" w:rsidRDefault="007825B2" w:rsidP="007825B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nl-BE"/>
        </w:rPr>
      </w:pPr>
    </w:p>
    <w:p w14:paraId="05A8FBFF" w14:textId="7DDFA0AD" w:rsidR="007825B2" w:rsidRPr="006E1739" w:rsidRDefault="007825B2" w:rsidP="007825B2">
      <w:pPr>
        <w:jc w:val="both"/>
        <w:rPr>
          <w:rFonts w:ascii="Arial" w:eastAsia="Arial" w:hAnsi="Arial" w:cs="Arial"/>
          <w:color w:val="004586"/>
          <w:sz w:val="28"/>
          <w:szCs w:val="28"/>
          <w:lang w:val="nl-BE"/>
        </w:rPr>
      </w:pPr>
      <w:r w:rsidRPr="006E1739">
        <w:rPr>
          <w:rFonts w:ascii="Arial" w:hAnsi="Arial" w:cs="Arial"/>
          <w:b/>
          <w:bCs/>
          <w:color w:val="004586"/>
          <w:sz w:val="28"/>
          <w:szCs w:val="28"/>
          <w:lang w:val="nl-BE"/>
        </w:rPr>
        <w:lastRenderedPageBreak/>
        <w:t>Moda</w:t>
      </w:r>
      <w:r w:rsidR="00EF11B6" w:rsidRPr="006E1739">
        <w:rPr>
          <w:rFonts w:ascii="Arial" w:hAnsi="Arial" w:cs="Arial"/>
          <w:b/>
          <w:bCs/>
          <w:color w:val="004586"/>
          <w:sz w:val="28"/>
          <w:szCs w:val="28"/>
          <w:lang w:val="nl-BE"/>
        </w:rPr>
        <w:t>liteiten</w:t>
      </w:r>
    </w:p>
    <w:p w14:paraId="6AB93EBA" w14:textId="1E2224B0" w:rsidR="00A962BF" w:rsidRPr="003C5506" w:rsidRDefault="00A962BF" w:rsidP="00A962BF">
      <w:pPr>
        <w:spacing w:after="0" w:line="240" w:lineRule="auto"/>
        <w:jc w:val="both"/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</w:pPr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De modaliteiten zijn:</w:t>
      </w:r>
    </w:p>
    <w:p w14:paraId="1EE63E45" w14:textId="77777777" w:rsidR="00A962BF" w:rsidRPr="00A962BF" w:rsidRDefault="00A962BF" w:rsidP="00A962BF">
      <w:pPr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</w:p>
    <w:p w14:paraId="5FA85F18" w14:textId="607AFF08" w:rsidR="00A962BF" w:rsidRPr="00A962BF" w:rsidRDefault="00A962BF" w:rsidP="00A962BF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De tussenkomst van Innoviris betreft </w:t>
      </w:r>
      <w:r w:rsidRPr="00A962BF">
        <w:rPr>
          <w:rFonts w:ascii="Arial" w:eastAsia="SimSun" w:hAnsi="Arial" w:cs="Mangal"/>
          <w:b/>
          <w:color w:val="000000"/>
          <w:kern w:val="1"/>
          <w:sz w:val="20"/>
          <w:szCs w:val="24"/>
          <w:lang w:val="nl-BE" w:eastAsia="zh-CN" w:bidi="hi-IN"/>
        </w:rPr>
        <w:t>50%</w:t>
      </w:r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van de subsidiabele kosten</w:t>
      </w:r>
    </w:p>
    <w:p w14:paraId="5954FE19" w14:textId="5731296B" w:rsidR="00A962BF" w:rsidRPr="00A962BF" w:rsidRDefault="00A962BF" w:rsidP="00A962BF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De financiering loopt over een periode van maximum 3 jaar in geval van een internationale </w:t>
      </w:r>
      <w:proofErr w:type="gramStart"/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PCT octrooi</w:t>
      </w:r>
      <w:proofErr w:type="gramEnd"/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aanvraag en maximum 4 </w:t>
      </w:r>
      <w:r w:rsidRPr="003C5506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jaar in</w:t>
      </w:r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 xml:space="preserve"> geval van een nationale octrooiaanvraag gevolgd door een internationale PCT octrooiaanvraag</w:t>
      </w:r>
    </w:p>
    <w:p w14:paraId="2CA4F1E1" w14:textId="140EC251" w:rsidR="00A962BF" w:rsidRPr="00A962BF" w:rsidRDefault="00A962BF" w:rsidP="00A962BF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Deze wordt jaarlijks betaald op basis van de werkelijke uitgaven in het voorafgaande jaar</w:t>
      </w:r>
    </w:p>
    <w:p w14:paraId="4EE014B0" w14:textId="09DCF0A6" w:rsidR="00A962BF" w:rsidRPr="00A962BF" w:rsidRDefault="00A962BF" w:rsidP="00A962BF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De steunaanvraag kan op elk moment van het jaar worden ingediend</w:t>
      </w:r>
    </w:p>
    <w:p w14:paraId="05867683" w14:textId="774301B7" w:rsidR="00A962BF" w:rsidRPr="00A962BF" w:rsidRDefault="00A962BF" w:rsidP="00A962BF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color w:val="000000"/>
          <w:kern w:val="1"/>
          <w:sz w:val="20"/>
          <w:szCs w:val="24"/>
          <w:lang w:val="nl-BE" w:eastAsia="zh-CN" w:bidi="hi-IN"/>
        </w:rPr>
      </w:pPr>
      <w:r w:rsidRPr="00A962BF">
        <w:rPr>
          <w:rFonts w:ascii="Arial" w:eastAsia="SimSun" w:hAnsi="Arial" w:cs="Mangal"/>
          <w:color w:val="000000"/>
          <w:kern w:val="1"/>
          <w:sz w:val="20"/>
          <w:szCs w:val="24"/>
          <w:lang w:val="nl-BE" w:eastAsia="zh-CN" w:bidi="hi-IN"/>
        </w:rPr>
        <w:t>De aanvragers dienen bijgevoegd aanvraagformulier in te vullen. Om de aanvraag snel te kunnen evalueren, is het belangrijk dat de gevraagde gegevens nauwkeurig en volledig worden verstrekt</w:t>
      </w:r>
    </w:p>
    <w:p w14:paraId="764272C1" w14:textId="086AE659" w:rsidR="0026210E" w:rsidRPr="003C5506" w:rsidRDefault="0026210E" w:rsidP="00C20B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jc w:val="both"/>
        <w:rPr>
          <w:rFonts w:ascii="Arial" w:eastAsia="SimSun" w:hAnsi="Arial" w:cs="Arial"/>
          <w:color w:val="000000"/>
          <w:sz w:val="20"/>
          <w:szCs w:val="20"/>
          <w:lang w:val="nl-BE" w:eastAsia="zh-CN" w:bidi="hi-IN"/>
        </w:rPr>
      </w:pPr>
    </w:p>
    <w:sectPr w:rsidR="0026210E" w:rsidRPr="003C5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4D9C" w14:textId="77777777" w:rsidR="00F551AB" w:rsidRDefault="00F551AB" w:rsidP="00300383">
      <w:pPr>
        <w:spacing w:after="0" w:line="240" w:lineRule="auto"/>
      </w:pPr>
      <w:r>
        <w:separator/>
      </w:r>
    </w:p>
  </w:endnote>
  <w:endnote w:type="continuationSeparator" w:id="0">
    <w:p w14:paraId="39F767FD" w14:textId="77777777" w:rsidR="00F551AB" w:rsidRDefault="00F551AB" w:rsidP="0030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4F54" w14:textId="77777777" w:rsidR="003A4402" w:rsidRDefault="003A44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2AEB" w14:textId="49DF0E2C" w:rsidR="00B66615" w:rsidRPr="00B36849" w:rsidRDefault="00A13DBA" w:rsidP="00B66615">
    <w:pPr>
      <w:pStyle w:val="Pieddepage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>INNOVIRIS</w:t>
    </w:r>
  </w:p>
  <w:p w14:paraId="64C645B9" w14:textId="1F306934" w:rsidR="00B66615" w:rsidRPr="00B36849" w:rsidRDefault="00B66615" w:rsidP="00B66615">
    <w:pPr>
      <w:pStyle w:val="Pieddepage"/>
      <w:rPr>
        <w:rFonts w:ascii="Arial" w:eastAsia="Arial" w:hAnsi="Arial" w:cs="Arial"/>
        <w:sz w:val="16"/>
        <w:szCs w:val="16"/>
        <w:lang w:val="fr-FR"/>
      </w:rPr>
    </w:pPr>
    <w:r w:rsidRPr="00B36849">
      <w:rPr>
        <w:rFonts w:ascii="Arial" w:hAnsi="Arial" w:cs="Arial"/>
        <w:sz w:val="16"/>
        <w:szCs w:val="16"/>
        <w:lang w:val="fr-FR"/>
      </w:rPr>
      <w:t>Chaussée de Charleroi 112, 1060</w:t>
    </w:r>
    <w:r w:rsidRPr="00B36849">
      <w:rPr>
        <w:rFonts w:ascii="Arial" w:eastAsia="Arial" w:hAnsi="Arial" w:cs="Arial"/>
        <w:sz w:val="16"/>
        <w:szCs w:val="16"/>
        <w:lang w:val="fr-FR"/>
      </w:rPr>
      <w:t xml:space="preserve"> </w:t>
    </w:r>
    <w:r w:rsidRPr="00B36849">
      <w:rPr>
        <w:rFonts w:ascii="Arial" w:hAnsi="Arial" w:cs="Arial"/>
        <w:sz w:val="16"/>
        <w:szCs w:val="16"/>
        <w:lang w:val="fr-FR"/>
      </w:rPr>
      <w:t>Bruxelles</w:t>
    </w:r>
    <w:r w:rsidRPr="00B36849">
      <w:rPr>
        <w:rFonts w:ascii="Arial" w:hAnsi="Arial" w:cs="Arial"/>
        <w:sz w:val="16"/>
        <w:szCs w:val="16"/>
        <w:lang w:val="fr-FR"/>
      </w:rPr>
      <w:tab/>
    </w:r>
    <w:r w:rsidRPr="00B36849">
      <w:rPr>
        <w:rFonts w:ascii="Arial" w:hAnsi="Arial" w:cs="Arial"/>
        <w:sz w:val="16"/>
        <w:szCs w:val="16"/>
        <w:lang w:val="fr-FR"/>
      </w:rPr>
      <w:tab/>
      <w:t>Règlement</w:t>
    </w:r>
  </w:p>
  <w:p w14:paraId="1A2D9257" w14:textId="75B6207B" w:rsidR="00B66615" w:rsidRPr="00B36849" w:rsidRDefault="00B66615">
    <w:pPr>
      <w:pStyle w:val="Pieddepage"/>
      <w:rPr>
        <w:rFonts w:ascii="Arial" w:hAnsi="Arial" w:cs="Arial"/>
      </w:rPr>
    </w:pPr>
    <w:proofErr w:type="gramStart"/>
    <w:r w:rsidRPr="00B36849">
      <w:rPr>
        <w:rFonts w:ascii="Arial" w:eastAsia="Arial" w:hAnsi="Arial" w:cs="Arial"/>
        <w:sz w:val="16"/>
        <w:szCs w:val="16"/>
        <w:lang w:val="fr-FR"/>
      </w:rPr>
      <w:t>T:</w:t>
    </w:r>
    <w:proofErr w:type="gramEnd"/>
    <w:r w:rsidRPr="00B36849">
      <w:rPr>
        <w:rFonts w:ascii="Arial" w:eastAsia="Arial" w:hAnsi="Arial" w:cs="Arial"/>
        <w:sz w:val="16"/>
        <w:szCs w:val="16"/>
        <w:lang w:val="fr-FR"/>
      </w:rPr>
      <w:t xml:space="preserve"> 02.600.50.34</w:t>
    </w:r>
    <w:r w:rsidRPr="00B36849">
      <w:rPr>
        <w:rFonts w:ascii="Arial" w:eastAsia="Arial" w:hAnsi="Arial" w:cs="Arial"/>
        <w:sz w:val="16"/>
        <w:szCs w:val="16"/>
        <w:lang w:val="fr-FR"/>
      </w:rPr>
      <w:tab/>
    </w:r>
    <w:r w:rsidRPr="00B36849">
      <w:rPr>
        <w:rFonts w:ascii="Arial" w:eastAsia="Arial" w:hAnsi="Arial" w:cs="Arial"/>
        <w:sz w:val="16"/>
        <w:szCs w:val="16"/>
        <w:lang w:val="fr-FR"/>
      </w:rPr>
      <w:tab/>
      <w:t>P</w:t>
    </w:r>
    <w:r w:rsidRPr="00B36849">
      <w:rPr>
        <w:rFonts w:ascii="Arial" w:hAnsi="Arial" w:cs="Arial"/>
        <w:sz w:val="16"/>
        <w:szCs w:val="16"/>
        <w:lang w:val="fr-FR"/>
      </w:rPr>
      <w:t>age</w:t>
    </w:r>
    <w:r w:rsidRPr="00B36849">
      <w:rPr>
        <w:rFonts w:ascii="Arial" w:eastAsia="Arial" w:hAnsi="Arial" w:cs="Arial"/>
        <w:sz w:val="16"/>
        <w:szCs w:val="16"/>
        <w:lang w:val="fr-FR"/>
      </w:rPr>
      <w:t xml:space="preserve"> </w:t>
    </w:r>
    <w:r w:rsidRPr="00B36849">
      <w:rPr>
        <w:rStyle w:val="Numrodepage"/>
        <w:rFonts w:ascii="Arial" w:hAnsi="Arial" w:cs="Arial"/>
        <w:sz w:val="16"/>
        <w:szCs w:val="16"/>
        <w:lang w:val="fr-FR"/>
      </w:rPr>
      <w:fldChar w:fldCharType="begin"/>
    </w:r>
    <w:r w:rsidRPr="00B36849">
      <w:rPr>
        <w:rStyle w:val="Numrodepage"/>
        <w:rFonts w:ascii="Arial" w:hAnsi="Arial" w:cs="Arial"/>
        <w:sz w:val="16"/>
        <w:szCs w:val="16"/>
        <w:lang w:val="fr-FR"/>
      </w:rPr>
      <w:instrText xml:space="preserve"> PAGE </w:instrText>
    </w:r>
    <w:r w:rsidRPr="00B36849">
      <w:rPr>
        <w:rStyle w:val="Numrodepage"/>
        <w:rFonts w:ascii="Arial" w:hAnsi="Arial" w:cs="Arial"/>
        <w:sz w:val="16"/>
        <w:szCs w:val="16"/>
        <w:lang w:val="fr-FR"/>
      </w:rPr>
      <w:fldChar w:fldCharType="separate"/>
    </w:r>
    <w:r w:rsidRPr="00B36849">
      <w:rPr>
        <w:rStyle w:val="Numrodepage"/>
        <w:rFonts w:ascii="Arial" w:hAnsi="Arial" w:cs="Arial"/>
        <w:sz w:val="16"/>
        <w:szCs w:val="16"/>
        <w:lang w:val="fr-FR"/>
      </w:rPr>
      <w:t>2</w:t>
    </w:r>
    <w:r w:rsidRPr="00B36849">
      <w:rPr>
        <w:rStyle w:val="Numrodepage"/>
        <w:rFonts w:ascii="Arial" w:hAnsi="Arial" w:cs="Arial"/>
        <w:sz w:val="16"/>
        <w:szCs w:val="16"/>
        <w:lang w:val="fr-FR"/>
      </w:rPr>
      <w:fldChar w:fldCharType="end"/>
    </w:r>
    <w:r w:rsidRPr="00B36849">
      <w:rPr>
        <w:rStyle w:val="Numrodepage"/>
        <w:rFonts w:ascii="Arial" w:eastAsia="Arial" w:hAnsi="Arial" w:cs="Arial"/>
        <w:sz w:val="16"/>
        <w:szCs w:val="16"/>
        <w:lang w:val="fr-FR"/>
      </w:rPr>
      <w:t xml:space="preserve"> / </w:t>
    </w:r>
    <w:r w:rsidRPr="00B36849">
      <w:rPr>
        <w:rStyle w:val="Numrodepage"/>
        <w:rFonts w:ascii="Arial" w:hAnsi="Arial" w:cs="Arial"/>
        <w:sz w:val="16"/>
        <w:szCs w:val="16"/>
        <w:lang w:val="fr-FR"/>
      </w:rPr>
      <w:fldChar w:fldCharType="begin"/>
    </w:r>
    <w:r w:rsidRPr="00B36849">
      <w:rPr>
        <w:rStyle w:val="Numrodepage"/>
        <w:rFonts w:ascii="Arial" w:hAnsi="Arial" w:cs="Arial"/>
        <w:sz w:val="16"/>
        <w:szCs w:val="16"/>
        <w:lang w:val="fr-FR"/>
      </w:rPr>
      <w:instrText xml:space="preserve"> NUMPAGES \*Arabic </w:instrText>
    </w:r>
    <w:r w:rsidRPr="00B36849">
      <w:rPr>
        <w:rStyle w:val="Numrodepage"/>
        <w:rFonts w:ascii="Arial" w:hAnsi="Arial" w:cs="Arial"/>
        <w:sz w:val="16"/>
        <w:szCs w:val="16"/>
        <w:lang w:val="fr-FR"/>
      </w:rPr>
      <w:fldChar w:fldCharType="separate"/>
    </w:r>
    <w:r w:rsidRPr="00B36849">
      <w:rPr>
        <w:rStyle w:val="Numrodepage"/>
        <w:rFonts w:ascii="Arial" w:hAnsi="Arial" w:cs="Arial"/>
        <w:sz w:val="16"/>
        <w:szCs w:val="16"/>
        <w:lang w:val="fr-FR"/>
      </w:rPr>
      <w:t>26</w:t>
    </w:r>
    <w:r w:rsidRPr="00B36849">
      <w:rPr>
        <w:rStyle w:val="Numrodepage"/>
        <w:rFonts w:ascii="Arial" w:hAnsi="Arial" w:cs="Arial"/>
        <w:sz w:val="16"/>
        <w:szCs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A0DA" w14:textId="77777777" w:rsidR="003A4402" w:rsidRDefault="003A44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B0BE" w14:textId="77777777" w:rsidR="00F551AB" w:rsidRDefault="00F551AB" w:rsidP="00300383">
      <w:pPr>
        <w:spacing w:after="0" w:line="240" w:lineRule="auto"/>
      </w:pPr>
      <w:r>
        <w:separator/>
      </w:r>
    </w:p>
  </w:footnote>
  <w:footnote w:type="continuationSeparator" w:id="0">
    <w:p w14:paraId="76D503EF" w14:textId="77777777" w:rsidR="00F551AB" w:rsidRDefault="00F551AB" w:rsidP="0030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FA0B" w14:textId="77777777" w:rsidR="003A4402" w:rsidRDefault="003A44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EE0" w14:textId="55A7A487" w:rsidR="00300383" w:rsidRDefault="00310385" w:rsidP="00300383">
    <w:pPr>
      <w:pStyle w:val="En-tte"/>
      <w:jc w:val="right"/>
    </w:pPr>
    <w:r w:rsidRPr="00B34DDB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B5FAF54" wp14:editId="40D5ECA7">
          <wp:simplePos x="0" y="0"/>
          <wp:positionH relativeFrom="column">
            <wp:posOffset>-502920</wp:posOffset>
          </wp:positionH>
          <wp:positionV relativeFrom="paragraph">
            <wp:posOffset>-159385</wp:posOffset>
          </wp:positionV>
          <wp:extent cx="1318374" cy="602032"/>
          <wp:effectExtent l="0" t="0" r="0" b="7620"/>
          <wp:wrapSquare wrapText="bothSides"/>
          <wp:docPr id="59" name="Image 5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74" cy="602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0432" w14:textId="77777777" w:rsidR="003A4402" w:rsidRDefault="003A44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566BEC"/>
    <w:multiLevelType w:val="hybridMultilevel"/>
    <w:tmpl w:val="399C6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56C1"/>
    <w:multiLevelType w:val="hybridMultilevel"/>
    <w:tmpl w:val="F93AC7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C7D"/>
    <w:multiLevelType w:val="hybridMultilevel"/>
    <w:tmpl w:val="AD1A58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3137"/>
    <w:multiLevelType w:val="hybridMultilevel"/>
    <w:tmpl w:val="81867E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2B06"/>
    <w:multiLevelType w:val="hybridMultilevel"/>
    <w:tmpl w:val="C6BC9AC0"/>
    <w:lvl w:ilvl="0" w:tplc="08D656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E465A"/>
    <w:multiLevelType w:val="hybridMultilevel"/>
    <w:tmpl w:val="443ABA60"/>
    <w:lvl w:ilvl="0" w:tplc="93246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81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28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E8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CD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6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8A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55BC2"/>
    <w:multiLevelType w:val="hybridMultilevel"/>
    <w:tmpl w:val="B1F488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F72CE"/>
    <w:multiLevelType w:val="hybridMultilevel"/>
    <w:tmpl w:val="269C9318"/>
    <w:lvl w:ilvl="0" w:tplc="92F2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DE1CCE">
      <w:start w:val="1"/>
      <w:numFmt w:val="lowerLetter"/>
      <w:lvlText w:val="%2."/>
      <w:lvlJc w:val="left"/>
      <w:pPr>
        <w:ind w:left="1080" w:hanging="360"/>
      </w:pPr>
    </w:lvl>
    <w:lvl w:ilvl="2" w:tplc="88F6D224">
      <w:start w:val="1"/>
      <w:numFmt w:val="lowerRoman"/>
      <w:lvlText w:val="%3."/>
      <w:lvlJc w:val="right"/>
      <w:pPr>
        <w:ind w:left="1800" w:hanging="180"/>
      </w:pPr>
    </w:lvl>
    <w:lvl w:ilvl="3" w:tplc="6888B332">
      <w:start w:val="1"/>
      <w:numFmt w:val="decimal"/>
      <w:lvlText w:val="%4."/>
      <w:lvlJc w:val="left"/>
      <w:pPr>
        <w:ind w:left="2520" w:hanging="360"/>
      </w:pPr>
    </w:lvl>
    <w:lvl w:ilvl="4" w:tplc="209A2AFA">
      <w:start w:val="1"/>
      <w:numFmt w:val="lowerLetter"/>
      <w:lvlText w:val="%5."/>
      <w:lvlJc w:val="left"/>
      <w:pPr>
        <w:ind w:left="3240" w:hanging="360"/>
      </w:pPr>
    </w:lvl>
    <w:lvl w:ilvl="5" w:tplc="29C260C2">
      <w:start w:val="1"/>
      <w:numFmt w:val="lowerRoman"/>
      <w:lvlText w:val="%6."/>
      <w:lvlJc w:val="right"/>
      <w:pPr>
        <w:ind w:left="3960" w:hanging="180"/>
      </w:pPr>
    </w:lvl>
    <w:lvl w:ilvl="6" w:tplc="87C2BB3E">
      <w:start w:val="1"/>
      <w:numFmt w:val="decimal"/>
      <w:lvlText w:val="%7."/>
      <w:lvlJc w:val="left"/>
      <w:pPr>
        <w:ind w:left="4680" w:hanging="360"/>
      </w:pPr>
    </w:lvl>
    <w:lvl w:ilvl="7" w:tplc="E1261450">
      <w:start w:val="1"/>
      <w:numFmt w:val="lowerLetter"/>
      <w:lvlText w:val="%8."/>
      <w:lvlJc w:val="left"/>
      <w:pPr>
        <w:ind w:left="5400" w:hanging="360"/>
      </w:pPr>
    </w:lvl>
    <w:lvl w:ilvl="8" w:tplc="974853D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9C7C35"/>
    <w:multiLevelType w:val="hybridMultilevel"/>
    <w:tmpl w:val="8CD096C6"/>
    <w:lvl w:ilvl="0" w:tplc="AF283F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7387E"/>
    <w:multiLevelType w:val="hybridMultilevel"/>
    <w:tmpl w:val="5356A130"/>
    <w:lvl w:ilvl="0" w:tplc="E042E0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27F62"/>
    <w:multiLevelType w:val="hybridMultilevel"/>
    <w:tmpl w:val="556EC7D4"/>
    <w:lvl w:ilvl="0" w:tplc="9FAAD0E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1B2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C4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4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A2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C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E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0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0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1BC1"/>
    <w:multiLevelType w:val="hybridMultilevel"/>
    <w:tmpl w:val="1A14DB76"/>
    <w:lvl w:ilvl="0" w:tplc="2E4C87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4"/>
    <w:rsid w:val="00002529"/>
    <w:rsid w:val="00007C48"/>
    <w:rsid w:val="00010361"/>
    <w:rsid w:val="0001472A"/>
    <w:rsid w:val="00015470"/>
    <w:rsid w:val="0004350C"/>
    <w:rsid w:val="00051748"/>
    <w:rsid w:val="0008025C"/>
    <w:rsid w:val="00091580"/>
    <w:rsid w:val="0009422E"/>
    <w:rsid w:val="000B08A5"/>
    <w:rsid w:val="000B1CF7"/>
    <w:rsid w:val="000B3A6A"/>
    <w:rsid w:val="000B3CC4"/>
    <w:rsid w:val="000B58C5"/>
    <w:rsid w:val="000C4AD8"/>
    <w:rsid w:val="000C7B06"/>
    <w:rsid w:val="000C7D95"/>
    <w:rsid w:val="000D74E4"/>
    <w:rsid w:val="000E37D2"/>
    <w:rsid w:val="000E51CB"/>
    <w:rsid w:val="000F6926"/>
    <w:rsid w:val="001014B6"/>
    <w:rsid w:val="0010181D"/>
    <w:rsid w:val="001076B1"/>
    <w:rsid w:val="00110D96"/>
    <w:rsid w:val="0011231D"/>
    <w:rsid w:val="00113A76"/>
    <w:rsid w:val="001321B3"/>
    <w:rsid w:val="001358A1"/>
    <w:rsid w:val="0013741A"/>
    <w:rsid w:val="001428FA"/>
    <w:rsid w:val="001432BF"/>
    <w:rsid w:val="00144B70"/>
    <w:rsid w:val="00144D6B"/>
    <w:rsid w:val="00151F11"/>
    <w:rsid w:val="001526FF"/>
    <w:rsid w:val="00173367"/>
    <w:rsid w:val="00176F00"/>
    <w:rsid w:val="00186A4A"/>
    <w:rsid w:val="00193BD1"/>
    <w:rsid w:val="00194280"/>
    <w:rsid w:val="001A1E17"/>
    <w:rsid w:val="001A2C5E"/>
    <w:rsid w:val="001A3045"/>
    <w:rsid w:val="001A5A99"/>
    <w:rsid w:val="001A7480"/>
    <w:rsid w:val="001B6054"/>
    <w:rsid w:val="001C018D"/>
    <w:rsid w:val="001C0B96"/>
    <w:rsid w:val="001C0F08"/>
    <w:rsid w:val="001C43B6"/>
    <w:rsid w:val="001C5F73"/>
    <w:rsid w:val="001C643D"/>
    <w:rsid w:val="001D1216"/>
    <w:rsid w:val="001D3AB3"/>
    <w:rsid w:val="001D6F68"/>
    <w:rsid w:val="001D79DC"/>
    <w:rsid w:val="001E1163"/>
    <w:rsid w:val="001E4081"/>
    <w:rsid w:val="001E648F"/>
    <w:rsid w:val="002050A2"/>
    <w:rsid w:val="00207156"/>
    <w:rsid w:val="002153DC"/>
    <w:rsid w:val="00235830"/>
    <w:rsid w:val="0026210E"/>
    <w:rsid w:val="00281664"/>
    <w:rsid w:val="0028479E"/>
    <w:rsid w:val="002B32E5"/>
    <w:rsid w:val="002B7927"/>
    <w:rsid w:val="002C3DD7"/>
    <w:rsid w:val="002C3EC1"/>
    <w:rsid w:val="002C6965"/>
    <w:rsid w:val="002D0EAA"/>
    <w:rsid w:val="002D10AA"/>
    <w:rsid w:val="002D2068"/>
    <w:rsid w:val="002D25DE"/>
    <w:rsid w:val="002E0847"/>
    <w:rsid w:val="002E1A6A"/>
    <w:rsid w:val="002E74C8"/>
    <w:rsid w:val="00300383"/>
    <w:rsid w:val="0030398E"/>
    <w:rsid w:val="003041DD"/>
    <w:rsid w:val="0030537F"/>
    <w:rsid w:val="00306361"/>
    <w:rsid w:val="00306580"/>
    <w:rsid w:val="00310385"/>
    <w:rsid w:val="003116CF"/>
    <w:rsid w:val="003119E1"/>
    <w:rsid w:val="00312ABB"/>
    <w:rsid w:val="00314804"/>
    <w:rsid w:val="00316FBF"/>
    <w:rsid w:val="003222EB"/>
    <w:rsid w:val="003238E8"/>
    <w:rsid w:val="00326E64"/>
    <w:rsid w:val="00326FFF"/>
    <w:rsid w:val="00330FC3"/>
    <w:rsid w:val="003365ED"/>
    <w:rsid w:val="003375DF"/>
    <w:rsid w:val="00340A64"/>
    <w:rsid w:val="00341F18"/>
    <w:rsid w:val="00344FD5"/>
    <w:rsid w:val="003457FD"/>
    <w:rsid w:val="00346F77"/>
    <w:rsid w:val="00354652"/>
    <w:rsid w:val="00362634"/>
    <w:rsid w:val="0038489E"/>
    <w:rsid w:val="00384B79"/>
    <w:rsid w:val="00385A67"/>
    <w:rsid w:val="0038668B"/>
    <w:rsid w:val="00392E79"/>
    <w:rsid w:val="00394B78"/>
    <w:rsid w:val="00395075"/>
    <w:rsid w:val="003978D9"/>
    <w:rsid w:val="003A4402"/>
    <w:rsid w:val="003A45A0"/>
    <w:rsid w:val="003B2473"/>
    <w:rsid w:val="003C24A8"/>
    <w:rsid w:val="003C5506"/>
    <w:rsid w:val="003C607A"/>
    <w:rsid w:val="003D70D5"/>
    <w:rsid w:val="003E2509"/>
    <w:rsid w:val="003F60BF"/>
    <w:rsid w:val="00402DAB"/>
    <w:rsid w:val="0040504C"/>
    <w:rsid w:val="004058DE"/>
    <w:rsid w:val="00412D52"/>
    <w:rsid w:val="00421E7E"/>
    <w:rsid w:val="00433342"/>
    <w:rsid w:val="00442518"/>
    <w:rsid w:val="004444FA"/>
    <w:rsid w:val="00450979"/>
    <w:rsid w:val="00456ADD"/>
    <w:rsid w:val="00460960"/>
    <w:rsid w:val="004618DA"/>
    <w:rsid w:val="00461DE5"/>
    <w:rsid w:val="00467044"/>
    <w:rsid w:val="00474B85"/>
    <w:rsid w:val="00476193"/>
    <w:rsid w:val="00494CF7"/>
    <w:rsid w:val="004A3C75"/>
    <w:rsid w:val="004A77D8"/>
    <w:rsid w:val="004B7753"/>
    <w:rsid w:val="004B7CFA"/>
    <w:rsid w:val="004C3EE9"/>
    <w:rsid w:val="004C6233"/>
    <w:rsid w:val="004D3025"/>
    <w:rsid w:val="004D3AF1"/>
    <w:rsid w:val="004D6FBC"/>
    <w:rsid w:val="004E1045"/>
    <w:rsid w:val="004E17D7"/>
    <w:rsid w:val="004E4CEF"/>
    <w:rsid w:val="004E6FAA"/>
    <w:rsid w:val="004F1EAE"/>
    <w:rsid w:val="004F3280"/>
    <w:rsid w:val="004F455D"/>
    <w:rsid w:val="004F499E"/>
    <w:rsid w:val="004F4CC5"/>
    <w:rsid w:val="00500E44"/>
    <w:rsid w:val="0050142C"/>
    <w:rsid w:val="00504C50"/>
    <w:rsid w:val="0051027B"/>
    <w:rsid w:val="00512EA7"/>
    <w:rsid w:val="00520B04"/>
    <w:rsid w:val="00523487"/>
    <w:rsid w:val="0052457B"/>
    <w:rsid w:val="0054309D"/>
    <w:rsid w:val="005430A5"/>
    <w:rsid w:val="00545329"/>
    <w:rsid w:val="00545A0F"/>
    <w:rsid w:val="0055568A"/>
    <w:rsid w:val="00555A54"/>
    <w:rsid w:val="00557C20"/>
    <w:rsid w:val="00560831"/>
    <w:rsid w:val="005844D6"/>
    <w:rsid w:val="005852DB"/>
    <w:rsid w:val="00587A21"/>
    <w:rsid w:val="005930F5"/>
    <w:rsid w:val="005955CB"/>
    <w:rsid w:val="00596623"/>
    <w:rsid w:val="005A048A"/>
    <w:rsid w:val="005A3B10"/>
    <w:rsid w:val="005A4E65"/>
    <w:rsid w:val="005A6C98"/>
    <w:rsid w:val="005B7E24"/>
    <w:rsid w:val="005C2A0A"/>
    <w:rsid w:val="005D03B5"/>
    <w:rsid w:val="005D18E0"/>
    <w:rsid w:val="005D1957"/>
    <w:rsid w:val="005D35C4"/>
    <w:rsid w:val="005D6BB4"/>
    <w:rsid w:val="005E7B9F"/>
    <w:rsid w:val="005F3261"/>
    <w:rsid w:val="005F4D24"/>
    <w:rsid w:val="005F5EF2"/>
    <w:rsid w:val="00601CEC"/>
    <w:rsid w:val="0060221F"/>
    <w:rsid w:val="00602EC2"/>
    <w:rsid w:val="00606254"/>
    <w:rsid w:val="006068D4"/>
    <w:rsid w:val="00613889"/>
    <w:rsid w:val="00620424"/>
    <w:rsid w:val="00622B98"/>
    <w:rsid w:val="0062744B"/>
    <w:rsid w:val="00631368"/>
    <w:rsid w:val="00633E96"/>
    <w:rsid w:val="00635F52"/>
    <w:rsid w:val="00646ED7"/>
    <w:rsid w:val="00647940"/>
    <w:rsid w:val="00650957"/>
    <w:rsid w:val="006536A5"/>
    <w:rsid w:val="006561D1"/>
    <w:rsid w:val="0066153F"/>
    <w:rsid w:val="00661626"/>
    <w:rsid w:val="006632A4"/>
    <w:rsid w:val="00663EBC"/>
    <w:rsid w:val="00665131"/>
    <w:rsid w:val="006673B4"/>
    <w:rsid w:val="00681A42"/>
    <w:rsid w:val="00684BEB"/>
    <w:rsid w:val="006942F5"/>
    <w:rsid w:val="00696897"/>
    <w:rsid w:val="006A1A4D"/>
    <w:rsid w:val="006A7AD7"/>
    <w:rsid w:val="006B0836"/>
    <w:rsid w:val="006B1EAE"/>
    <w:rsid w:val="006B42CC"/>
    <w:rsid w:val="006C07EB"/>
    <w:rsid w:val="006C361D"/>
    <w:rsid w:val="006C50E8"/>
    <w:rsid w:val="006E1739"/>
    <w:rsid w:val="006F30BD"/>
    <w:rsid w:val="006F3A64"/>
    <w:rsid w:val="00717DEC"/>
    <w:rsid w:val="0072223E"/>
    <w:rsid w:val="0072484E"/>
    <w:rsid w:val="00725DEF"/>
    <w:rsid w:val="00726D5A"/>
    <w:rsid w:val="00732DB5"/>
    <w:rsid w:val="007341CB"/>
    <w:rsid w:val="00736349"/>
    <w:rsid w:val="0073700D"/>
    <w:rsid w:val="007373EB"/>
    <w:rsid w:val="007378C5"/>
    <w:rsid w:val="007400DA"/>
    <w:rsid w:val="0075083A"/>
    <w:rsid w:val="00751659"/>
    <w:rsid w:val="00752A95"/>
    <w:rsid w:val="00767839"/>
    <w:rsid w:val="00770271"/>
    <w:rsid w:val="00771195"/>
    <w:rsid w:val="00772077"/>
    <w:rsid w:val="00772548"/>
    <w:rsid w:val="00776552"/>
    <w:rsid w:val="007825B2"/>
    <w:rsid w:val="0078484C"/>
    <w:rsid w:val="00795366"/>
    <w:rsid w:val="007A2077"/>
    <w:rsid w:val="007A3E1B"/>
    <w:rsid w:val="007A68F0"/>
    <w:rsid w:val="007A70C0"/>
    <w:rsid w:val="007C0721"/>
    <w:rsid w:val="007C4EB6"/>
    <w:rsid w:val="007D13AC"/>
    <w:rsid w:val="007D5AFA"/>
    <w:rsid w:val="007D6485"/>
    <w:rsid w:val="007E7090"/>
    <w:rsid w:val="007F1E2B"/>
    <w:rsid w:val="007F27D0"/>
    <w:rsid w:val="007F33ED"/>
    <w:rsid w:val="007F3D68"/>
    <w:rsid w:val="007F4465"/>
    <w:rsid w:val="00803390"/>
    <w:rsid w:val="00803EE6"/>
    <w:rsid w:val="008079F2"/>
    <w:rsid w:val="008167FB"/>
    <w:rsid w:val="00817800"/>
    <w:rsid w:val="00827DDC"/>
    <w:rsid w:val="00837CD8"/>
    <w:rsid w:val="00840A4C"/>
    <w:rsid w:val="00844CEB"/>
    <w:rsid w:val="008463A1"/>
    <w:rsid w:val="0085239E"/>
    <w:rsid w:val="008556AA"/>
    <w:rsid w:val="00860316"/>
    <w:rsid w:val="00861DE0"/>
    <w:rsid w:val="0087695D"/>
    <w:rsid w:val="00880672"/>
    <w:rsid w:val="00884AE7"/>
    <w:rsid w:val="00893971"/>
    <w:rsid w:val="0089538F"/>
    <w:rsid w:val="008B1D8F"/>
    <w:rsid w:val="008D71D5"/>
    <w:rsid w:val="008E0969"/>
    <w:rsid w:val="008F2A20"/>
    <w:rsid w:val="008F7C4D"/>
    <w:rsid w:val="00913489"/>
    <w:rsid w:val="00924514"/>
    <w:rsid w:val="00932C7B"/>
    <w:rsid w:val="00935F8C"/>
    <w:rsid w:val="0093613B"/>
    <w:rsid w:val="00940E16"/>
    <w:rsid w:val="00942DB2"/>
    <w:rsid w:val="00944D60"/>
    <w:rsid w:val="00946578"/>
    <w:rsid w:val="00951430"/>
    <w:rsid w:val="00961693"/>
    <w:rsid w:val="00973C43"/>
    <w:rsid w:val="00977E15"/>
    <w:rsid w:val="00980302"/>
    <w:rsid w:val="009819C4"/>
    <w:rsid w:val="00982A8F"/>
    <w:rsid w:val="00982C8C"/>
    <w:rsid w:val="00991BF3"/>
    <w:rsid w:val="00991CE7"/>
    <w:rsid w:val="00995C40"/>
    <w:rsid w:val="009A6611"/>
    <w:rsid w:val="009B0083"/>
    <w:rsid w:val="009B074C"/>
    <w:rsid w:val="009B7A80"/>
    <w:rsid w:val="009C02F2"/>
    <w:rsid w:val="009C3481"/>
    <w:rsid w:val="009E72FD"/>
    <w:rsid w:val="009F02AA"/>
    <w:rsid w:val="009F4F6B"/>
    <w:rsid w:val="009F654D"/>
    <w:rsid w:val="009F656B"/>
    <w:rsid w:val="00A007C3"/>
    <w:rsid w:val="00A027AD"/>
    <w:rsid w:val="00A029BC"/>
    <w:rsid w:val="00A06444"/>
    <w:rsid w:val="00A13DBA"/>
    <w:rsid w:val="00A20D4E"/>
    <w:rsid w:val="00A2318D"/>
    <w:rsid w:val="00A2499D"/>
    <w:rsid w:val="00A35214"/>
    <w:rsid w:val="00A408B1"/>
    <w:rsid w:val="00A445D2"/>
    <w:rsid w:val="00A4542F"/>
    <w:rsid w:val="00A51BB1"/>
    <w:rsid w:val="00A57255"/>
    <w:rsid w:val="00A643B0"/>
    <w:rsid w:val="00A66E95"/>
    <w:rsid w:val="00A810DA"/>
    <w:rsid w:val="00A8119E"/>
    <w:rsid w:val="00A82EFF"/>
    <w:rsid w:val="00A83061"/>
    <w:rsid w:val="00A9039D"/>
    <w:rsid w:val="00A92C7C"/>
    <w:rsid w:val="00A962BF"/>
    <w:rsid w:val="00AA29C6"/>
    <w:rsid w:val="00AA3089"/>
    <w:rsid w:val="00AB32C8"/>
    <w:rsid w:val="00AC0481"/>
    <w:rsid w:val="00AD016E"/>
    <w:rsid w:val="00AD0CF0"/>
    <w:rsid w:val="00AD385A"/>
    <w:rsid w:val="00AE05B4"/>
    <w:rsid w:val="00AE6C29"/>
    <w:rsid w:val="00B16BB2"/>
    <w:rsid w:val="00B22D0A"/>
    <w:rsid w:val="00B24FA8"/>
    <w:rsid w:val="00B2574B"/>
    <w:rsid w:val="00B25EE2"/>
    <w:rsid w:val="00B26A89"/>
    <w:rsid w:val="00B36849"/>
    <w:rsid w:val="00B4032F"/>
    <w:rsid w:val="00B50397"/>
    <w:rsid w:val="00B566FB"/>
    <w:rsid w:val="00B57683"/>
    <w:rsid w:val="00B576C7"/>
    <w:rsid w:val="00B649D1"/>
    <w:rsid w:val="00B66615"/>
    <w:rsid w:val="00B671EE"/>
    <w:rsid w:val="00B8025E"/>
    <w:rsid w:val="00B8223A"/>
    <w:rsid w:val="00B84942"/>
    <w:rsid w:val="00B84DE6"/>
    <w:rsid w:val="00B9183D"/>
    <w:rsid w:val="00B96584"/>
    <w:rsid w:val="00BA067B"/>
    <w:rsid w:val="00BA06FC"/>
    <w:rsid w:val="00BA08E4"/>
    <w:rsid w:val="00BA16BE"/>
    <w:rsid w:val="00BA4841"/>
    <w:rsid w:val="00BA57AA"/>
    <w:rsid w:val="00BD030F"/>
    <w:rsid w:val="00BD2B61"/>
    <w:rsid w:val="00BD3D2E"/>
    <w:rsid w:val="00BD4A29"/>
    <w:rsid w:val="00BD6F80"/>
    <w:rsid w:val="00BE2993"/>
    <w:rsid w:val="00BE3B5F"/>
    <w:rsid w:val="00BE66EB"/>
    <w:rsid w:val="00C029B6"/>
    <w:rsid w:val="00C16A57"/>
    <w:rsid w:val="00C17377"/>
    <w:rsid w:val="00C202C2"/>
    <w:rsid w:val="00C20B1A"/>
    <w:rsid w:val="00C24AF9"/>
    <w:rsid w:val="00C3398A"/>
    <w:rsid w:val="00C34F02"/>
    <w:rsid w:val="00C37A6E"/>
    <w:rsid w:val="00C6433F"/>
    <w:rsid w:val="00C6442E"/>
    <w:rsid w:val="00C71565"/>
    <w:rsid w:val="00C729B0"/>
    <w:rsid w:val="00C744B2"/>
    <w:rsid w:val="00C766E6"/>
    <w:rsid w:val="00C76747"/>
    <w:rsid w:val="00C90C8A"/>
    <w:rsid w:val="00C911E0"/>
    <w:rsid w:val="00C918BD"/>
    <w:rsid w:val="00CA6FFD"/>
    <w:rsid w:val="00CC12DB"/>
    <w:rsid w:val="00CC4D25"/>
    <w:rsid w:val="00CC5201"/>
    <w:rsid w:val="00CD6305"/>
    <w:rsid w:val="00CE172A"/>
    <w:rsid w:val="00CE40DA"/>
    <w:rsid w:val="00CE782C"/>
    <w:rsid w:val="00CE7B63"/>
    <w:rsid w:val="00CF08BC"/>
    <w:rsid w:val="00CF5FA7"/>
    <w:rsid w:val="00D021F1"/>
    <w:rsid w:val="00D05171"/>
    <w:rsid w:val="00D11D28"/>
    <w:rsid w:val="00D14F39"/>
    <w:rsid w:val="00D2034D"/>
    <w:rsid w:val="00D221F5"/>
    <w:rsid w:val="00D22FD1"/>
    <w:rsid w:val="00D23633"/>
    <w:rsid w:val="00D26CDB"/>
    <w:rsid w:val="00D33296"/>
    <w:rsid w:val="00D343F7"/>
    <w:rsid w:val="00D516A7"/>
    <w:rsid w:val="00D60A45"/>
    <w:rsid w:val="00D60B77"/>
    <w:rsid w:val="00D65974"/>
    <w:rsid w:val="00D70AA9"/>
    <w:rsid w:val="00D74E0F"/>
    <w:rsid w:val="00D74E67"/>
    <w:rsid w:val="00D8393F"/>
    <w:rsid w:val="00D840D8"/>
    <w:rsid w:val="00D90CB3"/>
    <w:rsid w:val="00D91086"/>
    <w:rsid w:val="00DA338E"/>
    <w:rsid w:val="00DA39A1"/>
    <w:rsid w:val="00DB2954"/>
    <w:rsid w:val="00DB32C4"/>
    <w:rsid w:val="00DB4691"/>
    <w:rsid w:val="00DB6EBF"/>
    <w:rsid w:val="00DD0742"/>
    <w:rsid w:val="00DD6837"/>
    <w:rsid w:val="00DD72C3"/>
    <w:rsid w:val="00DF5181"/>
    <w:rsid w:val="00DF68BC"/>
    <w:rsid w:val="00E02511"/>
    <w:rsid w:val="00E20642"/>
    <w:rsid w:val="00E32E20"/>
    <w:rsid w:val="00E3795E"/>
    <w:rsid w:val="00E456E7"/>
    <w:rsid w:val="00E46A08"/>
    <w:rsid w:val="00E46DDC"/>
    <w:rsid w:val="00E47ED9"/>
    <w:rsid w:val="00E51147"/>
    <w:rsid w:val="00E66C24"/>
    <w:rsid w:val="00E73EB3"/>
    <w:rsid w:val="00E7633E"/>
    <w:rsid w:val="00E77543"/>
    <w:rsid w:val="00E81DDF"/>
    <w:rsid w:val="00E95294"/>
    <w:rsid w:val="00E9622A"/>
    <w:rsid w:val="00EB4222"/>
    <w:rsid w:val="00EC016C"/>
    <w:rsid w:val="00EC3A9B"/>
    <w:rsid w:val="00ED2965"/>
    <w:rsid w:val="00EE179D"/>
    <w:rsid w:val="00EF11B6"/>
    <w:rsid w:val="00EF371E"/>
    <w:rsid w:val="00EF499B"/>
    <w:rsid w:val="00EF4AF6"/>
    <w:rsid w:val="00F040A3"/>
    <w:rsid w:val="00F06517"/>
    <w:rsid w:val="00F253AB"/>
    <w:rsid w:val="00F27570"/>
    <w:rsid w:val="00F35424"/>
    <w:rsid w:val="00F37B69"/>
    <w:rsid w:val="00F42E7D"/>
    <w:rsid w:val="00F45667"/>
    <w:rsid w:val="00F53E78"/>
    <w:rsid w:val="00F551AB"/>
    <w:rsid w:val="00F567ED"/>
    <w:rsid w:val="00F64C1F"/>
    <w:rsid w:val="00F66583"/>
    <w:rsid w:val="00F7005F"/>
    <w:rsid w:val="00F73DF0"/>
    <w:rsid w:val="00F80331"/>
    <w:rsid w:val="00F80AA7"/>
    <w:rsid w:val="00F81CD1"/>
    <w:rsid w:val="00F845AC"/>
    <w:rsid w:val="00F945A9"/>
    <w:rsid w:val="00F95F58"/>
    <w:rsid w:val="00FA042B"/>
    <w:rsid w:val="00FB0336"/>
    <w:rsid w:val="00FC03CD"/>
    <w:rsid w:val="00FC1B8B"/>
    <w:rsid w:val="00FD3163"/>
    <w:rsid w:val="00FD32DC"/>
    <w:rsid w:val="00FE0AB3"/>
    <w:rsid w:val="00FE2039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67088"/>
  <w15:chartTrackingRefBased/>
  <w15:docId w15:val="{5807F87A-2A37-40A2-9395-EC163F7E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2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3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383"/>
  </w:style>
  <w:style w:type="paragraph" w:styleId="Pieddepage">
    <w:name w:val="footer"/>
    <w:basedOn w:val="Normal"/>
    <w:link w:val="PieddepageCar"/>
    <w:unhideWhenUsed/>
    <w:rsid w:val="0030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383"/>
  </w:style>
  <w:style w:type="character" w:styleId="Numrodepage">
    <w:name w:val="page number"/>
    <w:basedOn w:val="Policepardfaut"/>
    <w:rsid w:val="00B6661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36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361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361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007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07C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A5A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70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E7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70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70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7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7090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0B3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330F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D6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A067B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8F7C4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8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17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91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105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02A5-21D3-4E1B-AC81-DEADC41B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Vekemans</dc:creator>
  <cp:keywords/>
  <dc:description/>
  <cp:lastModifiedBy>Gilles Ysebaert</cp:lastModifiedBy>
  <cp:revision>27</cp:revision>
  <dcterms:created xsi:type="dcterms:W3CDTF">2021-08-30T12:28:00Z</dcterms:created>
  <dcterms:modified xsi:type="dcterms:W3CDTF">2021-11-17T13:08:00Z</dcterms:modified>
</cp:coreProperties>
</file>