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7D273" w14:textId="77777777" w:rsidR="006C216C" w:rsidRDefault="0071240C">
      <w:pPr>
        <w:spacing w:after="0" w:line="259" w:lineRule="auto"/>
        <w:ind w:right="6"/>
        <w:jc w:val="center"/>
      </w:pPr>
      <w:r>
        <w:rPr>
          <w:b/>
          <w:sz w:val="40"/>
        </w:rPr>
        <w:t>R</w:t>
      </w:r>
      <w:r>
        <w:rPr>
          <w:b/>
          <w:sz w:val="32"/>
        </w:rPr>
        <w:t>ÈGLEMENT</w:t>
      </w:r>
      <w:r>
        <w:rPr>
          <w:b/>
          <w:sz w:val="40"/>
        </w:rPr>
        <w:t xml:space="preserve"> </w:t>
      </w:r>
    </w:p>
    <w:p w14:paraId="06D16DDB" w14:textId="63749CD2" w:rsidR="006C216C" w:rsidRDefault="00205E18">
      <w:pPr>
        <w:spacing w:after="0" w:line="259" w:lineRule="auto"/>
        <w:jc w:val="center"/>
      </w:pPr>
      <w:r>
        <w:rPr>
          <w:b/>
          <w:sz w:val="40"/>
        </w:rPr>
        <w:t>Appel à projets</w:t>
      </w:r>
      <w:r w:rsidR="00D87E29">
        <w:rPr>
          <w:b/>
          <w:sz w:val="40"/>
        </w:rPr>
        <w:t xml:space="preserve"> GENAI</w:t>
      </w:r>
    </w:p>
    <w:p w14:paraId="2B702980" w14:textId="426D564A" w:rsidR="006C216C" w:rsidRPr="00017811" w:rsidRDefault="009E45B6" w:rsidP="00017811">
      <w:pPr>
        <w:spacing w:after="136" w:line="259" w:lineRule="auto"/>
        <w:ind w:left="0" w:firstLine="0"/>
        <w:jc w:val="center"/>
        <w:rPr>
          <w:i/>
          <w:iCs/>
          <w:sz w:val="24"/>
          <w:szCs w:val="32"/>
        </w:rPr>
      </w:pPr>
      <w:r w:rsidRPr="00017811">
        <w:rPr>
          <w:rFonts w:ascii="Calibri" w:eastAsia="Calibri" w:hAnsi="Calibri" w:cs="Calibri"/>
          <w:i/>
          <w:iCs/>
          <w:sz w:val="28"/>
          <w:szCs w:val="32"/>
        </w:rPr>
        <w:t>Accélérer l’</w:t>
      </w:r>
      <w:r w:rsidR="005F6831">
        <w:rPr>
          <w:rFonts w:ascii="Calibri" w:eastAsia="Calibri" w:hAnsi="Calibri" w:cs="Calibri"/>
          <w:i/>
          <w:iCs/>
          <w:sz w:val="28"/>
          <w:szCs w:val="32"/>
        </w:rPr>
        <w:t>intégration</w:t>
      </w:r>
      <w:r w:rsidRPr="00017811">
        <w:rPr>
          <w:rFonts w:ascii="Calibri" w:eastAsia="Calibri" w:hAnsi="Calibri" w:cs="Calibri"/>
          <w:i/>
          <w:iCs/>
          <w:sz w:val="28"/>
          <w:szCs w:val="32"/>
        </w:rPr>
        <w:t xml:space="preserve"> de l’IA générative dans l’économie</w:t>
      </w:r>
      <w:r w:rsidR="00017811" w:rsidRPr="00017811">
        <w:rPr>
          <w:rFonts w:ascii="Calibri" w:eastAsia="Calibri" w:hAnsi="Calibri" w:cs="Calibri"/>
          <w:i/>
          <w:iCs/>
          <w:sz w:val="28"/>
          <w:szCs w:val="32"/>
        </w:rPr>
        <w:t xml:space="preserve"> bruxelloise</w:t>
      </w:r>
    </w:p>
    <w:p w14:paraId="08F4DD28" w14:textId="77777777" w:rsidR="006C216C" w:rsidRDefault="0071240C">
      <w:pPr>
        <w:spacing w:after="127" w:line="259" w:lineRule="auto"/>
        <w:ind w:left="0" w:firstLine="0"/>
        <w:jc w:val="left"/>
        <w:rPr>
          <w:b/>
        </w:rPr>
      </w:pPr>
      <w:r>
        <w:rPr>
          <w:b/>
        </w:rPr>
        <w:t xml:space="preserve"> </w:t>
      </w:r>
    </w:p>
    <w:p w14:paraId="6D5CC022" w14:textId="77777777" w:rsidR="00CE6C7E" w:rsidRDefault="00CE6C7E">
      <w:pPr>
        <w:spacing w:after="127" w:line="259" w:lineRule="auto"/>
        <w:ind w:left="0" w:firstLine="0"/>
        <w:jc w:val="left"/>
      </w:pPr>
    </w:p>
    <w:p w14:paraId="34D51036" w14:textId="3EAD9DAD" w:rsidR="006C216C" w:rsidRDefault="0071240C">
      <w:pPr>
        <w:pStyle w:val="Titre1"/>
        <w:ind w:left="-5"/>
      </w:pPr>
      <w:r>
        <w:t>Contexte</w:t>
      </w:r>
    </w:p>
    <w:p w14:paraId="6CDBC8CC" w14:textId="77777777" w:rsidR="006C216C" w:rsidRDefault="0071240C">
      <w:pPr>
        <w:spacing w:after="55" w:line="259" w:lineRule="auto"/>
        <w:ind w:left="0" w:firstLine="0"/>
        <w:jc w:val="left"/>
        <w:rPr>
          <w:b/>
        </w:rPr>
      </w:pPr>
      <w:r>
        <w:rPr>
          <w:b/>
        </w:rPr>
        <w:t xml:space="preserve"> </w:t>
      </w:r>
    </w:p>
    <w:p w14:paraId="482D0491" w14:textId="6DD42FF6" w:rsidR="00E424EB" w:rsidRPr="00002550" w:rsidRDefault="00D822ED" w:rsidP="00E424EB">
      <w:pPr>
        <w:spacing w:after="55" w:line="259" w:lineRule="auto"/>
        <w:ind w:left="0" w:firstLine="0"/>
      </w:pPr>
      <w:r w:rsidRPr="00002550">
        <w:t>L’intelligence artificielle</w:t>
      </w:r>
      <w:r w:rsidR="00526C1A">
        <w:t xml:space="preserve"> (IA)</w:t>
      </w:r>
      <w:r w:rsidRPr="00002550">
        <w:t xml:space="preserve"> est en train de transformer le monde, et l’une de ses avancées les plus marquantes est l’émergence de l’IA générative.</w:t>
      </w:r>
      <w:r w:rsidR="00D76C8F">
        <w:t xml:space="preserve"> </w:t>
      </w:r>
      <w:r w:rsidR="00E424EB" w:rsidRPr="00002550">
        <w:t>Cette technologie novatrice, capable de créer de nouveaux contenus à partir de modèles préexistants, redéfinit les frontières de la créativité humaine et machine. En générant des textes, des images, des vidéos, et même des objets en 3D, l’IA générative joue un rôle crucial dans la réinvention des processus créatifs, industriels et scientifiques.</w:t>
      </w:r>
    </w:p>
    <w:p w14:paraId="7A6C1DDA" w14:textId="77777777" w:rsidR="001D75AF" w:rsidRDefault="001D75AF" w:rsidP="00E424EB">
      <w:pPr>
        <w:spacing w:after="55" w:line="259" w:lineRule="auto"/>
        <w:ind w:left="0" w:firstLine="0"/>
      </w:pPr>
    </w:p>
    <w:p w14:paraId="021502AD" w14:textId="14B18C9D" w:rsidR="00E424EB" w:rsidRPr="00002550" w:rsidRDefault="00E424EB" w:rsidP="00E424EB">
      <w:pPr>
        <w:spacing w:after="55" w:line="259" w:lineRule="auto"/>
        <w:ind w:left="0" w:firstLine="0"/>
      </w:pPr>
      <w:r w:rsidRPr="00002550">
        <w:t>Aujourd’hui, cette capacité à générer du contenu original dépasse le simple cadre technique et trouve des applications dans une multitude de secteurs. Par exemple, dans les médias et la publicité, les systèmes génératifs permettent de produire des campagnes personnalisées à grande échelle. Dans le design et l'architecture, ils ouvrent la voie à des formes inédites et à une optimisation des ressources. Dans la recherche biomédicale, l'IA générative aide à modéliser des molécules et accélère la découverte de nouveaux traitements. Elle est aussi de plus en plus utilisée dans la modélisation de simulations complexes, de la finance à l'aéronautique, en passant par l'urbanisme et l'agriculture.</w:t>
      </w:r>
    </w:p>
    <w:p w14:paraId="53027A03" w14:textId="77777777" w:rsidR="001D75AF" w:rsidRDefault="001D75AF" w:rsidP="00E424EB">
      <w:pPr>
        <w:spacing w:after="55" w:line="259" w:lineRule="auto"/>
        <w:ind w:left="0" w:firstLine="0"/>
      </w:pPr>
    </w:p>
    <w:p w14:paraId="543047A8" w14:textId="20C22497" w:rsidR="001D75AF" w:rsidRDefault="00E424EB" w:rsidP="00E424EB">
      <w:pPr>
        <w:spacing w:after="55" w:line="259" w:lineRule="auto"/>
        <w:ind w:left="0" w:firstLine="0"/>
      </w:pPr>
      <w:r w:rsidRPr="00002550">
        <w:t xml:space="preserve">L’impact de cette technologie est immense, non seulement en termes de productivité, mais aussi dans la manière dont les entreprises et les chercheurs abordent l'innovation. En automatisant certaines tâches créatives, l'IA générative permet aux humains de se concentrer sur les aspects plus stratégiques et conceptuels de leur travail. </w:t>
      </w:r>
    </w:p>
    <w:p w14:paraId="57852388" w14:textId="77777777" w:rsidR="001D75AF" w:rsidRDefault="001D75AF" w:rsidP="00E424EB">
      <w:pPr>
        <w:spacing w:after="55" w:line="259" w:lineRule="auto"/>
        <w:ind w:left="0" w:firstLine="0"/>
      </w:pPr>
    </w:p>
    <w:p w14:paraId="1B793348" w14:textId="77777777" w:rsidR="00E00F63" w:rsidRDefault="00E00F63" w:rsidP="00E00F63">
      <w:pPr>
        <w:spacing w:after="55" w:line="259" w:lineRule="auto"/>
        <w:ind w:left="0" w:firstLine="0"/>
      </w:pPr>
      <w:r w:rsidRPr="000730A2">
        <w:t>Cependant, l'IA générative soulève des enjeux sociétaux, économiques et éthiques. L'un des défis majeurs réside dans l'encadrement de l'utilisation de ces systèmes, notamment en termes de droits d'auteur, de respect de la vie privée et de transparence des processus</w:t>
      </w:r>
      <w:r>
        <w:t xml:space="preserve"> et algorithmes</w:t>
      </w:r>
      <w:r w:rsidRPr="000730A2">
        <w:t>. L’impact sur le marché du travail, avec l’automatisation accrue des tâches créatives, nécessite également une réflexion collective sur l'adaptation des compétences et la répartition des responsabilités entre les hommes et les machines.</w:t>
      </w:r>
    </w:p>
    <w:p w14:paraId="07BA91D4" w14:textId="77777777" w:rsidR="00E00F63" w:rsidRDefault="00E00F63" w:rsidP="00E424EB">
      <w:pPr>
        <w:spacing w:after="55" w:line="259" w:lineRule="auto"/>
        <w:ind w:left="0" w:firstLine="0"/>
      </w:pPr>
    </w:p>
    <w:p w14:paraId="7C52F2F6" w14:textId="5E67E991" w:rsidR="008330C6" w:rsidRDefault="000730A2" w:rsidP="00EC37B0">
      <w:pPr>
        <w:spacing w:after="55" w:line="259" w:lineRule="auto"/>
        <w:ind w:left="0" w:firstLine="0"/>
      </w:pPr>
      <w:r w:rsidRPr="000730A2">
        <w:t>C'est dans ce contexte en constante mutation que notre appel à projets s'inscrit.</w:t>
      </w:r>
      <w:r w:rsidR="00196476">
        <w:t xml:space="preserve"> Il vise à permettre aux entreprises bruxelloises de s’approprier ces technologies et les transformer en avantage compétitif.</w:t>
      </w:r>
    </w:p>
    <w:p w14:paraId="5378578F" w14:textId="77777777" w:rsidR="008330C6" w:rsidRDefault="008330C6">
      <w:pPr>
        <w:spacing w:after="160" w:line="278" w:lineRule="auto"/>
        <w:ind w:left="0" w:firstLine="0"/>
        <w:jc w:val="left"/>
      </w:pPr>
      <w:r>
        <w:br w:type="page"/>
      </w:r>
    </w:p>
    <w:p w14:paraId="29201A55" w14:textId="77777777" w:rsidR="008330C6" w:rsidRDefault="008330C6" w:rsidP="006C7838">
      <w:pPr>
        <w:pStyle w:val="Titre1"/>
        <w:ind w:left="-5"/>
      </w:pPr>
    </w:p>
    <w:p w14:paraId="44354A72" w14:textId="79C8D854" w:rsidR="006C7838" w:rsidRDefault="006C7838" w:rsidP="006C7838">
      <w:pPr>
        <w:pStyle w:val="Titre1"/>
        <w:ind w:left="-5"/>
      </w:pPr>
      <w:r>
        <w:t>Objectifs</w:t>
      </w:r>
    </w:p>
    <w:p w14:paraId="4B75BE39" w14:textId="77777777" w:rsidR="006C7838" w:rsidRDefault="006C7838" w:rsidP="006C7838">
      <w:pPr>
        <w:spacing w:after="55" w:line="259" w:lineRule="auto"/>
        <w:ind w:left="0" w:firstLine="0"/>
        <w:jc w:val="left"/>
        <w:rPr>
          <w:b/>
        </w:rPr>
      </w:pPr>
      <w:r>
        <w:rPr>
          <w:b/>
        </w:rPr>
        <w:t xml:space="preserve"> </w:t>
      </w:r>
    </w:p>
    <w:p w14:paraId="66666AA2" w14:textId="77777777" w:rsidR="00316584" w:rsidRDefault="00316584" w:rsidP="00C13AB6">
      <w:pPr>
        <w:spacing w:after="55" w:line="259" w:lineRule="auto"/>
        <w:ind w:left="0" w:firstLine="0"/>
      </w:pPr>
    </w:p>
    <w:p w14:paraId="01007C02" w14:textId="02E485CB" w:rsidR="00316584" w:rsidRDefault="003B434E" w:rsidP="00C13AB6">
      <w:pPr>
        <w:spacing w:after="55" w:line="259" w:lineRule="auto"/>
        <w:ind w:left="0" w:firstLine="0"/>
      </w:pPr>
      <w:r>
        <w:t xml:space="preserve">A travers cet appel, Innoviris vise à accélérer l’intégration </w:t>
      </w:r>
      <w:r w:rsidR="00836266">
        <w:t>de l’intelligence artificielle générative dans l’économie bruxelloise. Il s’agit pour</w:t>
      </w:r>
      <w:r w:rsidR="000129A3">
        <w:t xml:space="preserve"> les entreprises</w:t>
      </w:r>
      <w:r w:rsidR="00D71489">
        <w:t xml:space="preserve"> d</w:t>
      </w:r>
      <w:r w:rsidR="00334F0C">
        <w:t>’offrir de nouvelles propositions</w:t>
      </w:r>
      <w:r w:rsidR="008807D8">
        <w:t xml:space="preserve"> </w:t>
      </w:r>
      <w:r w:rsidR="002030AE">
        <w:t xml:space="preserve">de </w:t>
      </w:r>
      <w:r w:rsidR="008807D8">
        <w:t>valeur</w:t>
      </w:r>
      <w:r w:rsidR="00334F0C">
        <w:t xml:space="preserve"> </w:t>
      </w:r>
      <w:r w:rsidR="0022062C">
        <w:t>permises par l’intégration de technologies d’IA générative</w:t>
      </w:r>
      <w:r w:rsidR="001005B9">
        <w:t xml:space="preserve"> dans leurs produits, services ou encore leurs processus internes.</w:t>
      </w:r>
    </w:p>
    <w:p w14:paraId="1A6D2346" w14:textId="102576B5" w:rsidR="001A5712" w:rsidRDefault="001005B9" w:rsidP="00C13AB6">
      <w:pPr>
        <w:spacing w:after="55" w:line="259" w:lineRule="auto"/>
        <w:ind w:left="0" w:firstLine="0"/>
      </w:pPr>
      <w:r>
        <w:t>Toutefois, s</w:t>
      </w:r>
      <w:r w:rsidR="00C13AB6">
        <w:t xml:space="preserve">elon certaines estimations, </w:t>
      </w:r>
      <w:r w:rsidR="00D8599C">
        <w:t>plus de 80% des projets d’IA échouent</w:t>
      </w:r>
      <w:r w:rsidR="00957F70">
        <w:t>, soit le double du taux d’échec des projets IT n’impliquant pas d’intelligence artificielle</w:t>
      </w:r>
      <w:r w:rsidR="002E6556">
        <w:rPr>
          <w:rStyle w:val="Appelnotedebasdep"/>
        </w:rPr>
        <w:footnoteReference w:id="1"/>
      </w:r>
      <w:r w:rsidR="00957F70">
        <w:t>.</w:t>
      </w:r>
      <w:r w:rsidR="002E6556">
        <w:t xml:space="preserve"> </w:t>
      </w:r>
    </w:p>
    <w:p w14:paraId="7B097A01" w14:textId="0D66D215" w:rsidR="00131727" w:rsidRDefault="00120CAE" w:rsidP="008B54FB">
      <w:pPr>
        <w:spacing w:after="240" w:line="259" w:lineRule="auto"/>
        <w:ind w:left="0" w:firstLine="0"/>
      </w:pPr>
      <w:r>
        <w:t>Ainsi, la préparation d’un projet IA est tout aussi fondamental</w:t>
      </w:r>
      <w:r w:rsidR="006919C6">
        <w:t>e</w:t>
      </w:r>
      <w:r>
        <w:t xml:space="preserve"> que</w:t>
      </w:r>
      <w:r w:rsidR="00250F24">
        <w:t xml:space="preserve"> la mise en œuvre. </w:t>
      </w:r>
      <w:r w:rsidR="00003AC7">
        <w:t xml:space="preserve">Le présent appel à projets </w:t>
      </w:r>
      <w:r w:rsidR="00000870">
        <w:t>a pour objet</w:t>
      </w:r>
      <w:r w:rsidR="00D96F00">
        <w:t xml:space="preserve"> </w:t>
      </w:r>
      <w:r w:rsidR="00526286">
        <w:t xml:space="preserve">cette phase de préparation en soutenant </w:t>
      </w:r>
      <w:r w:rsidR="00334B30" w:rsidRPr="00350D35">
        <w:rPr>
          <w:b/>
          <w:bCs/>
        </w:rPr>
        <w:t>une étude de faisabilité et le développement d’une preuve de concept</w:t>
      </w:r>
      <w:r w:rsidR="007033BB">
        <w:t xml:space="preserve"> d’IA générative.</w:t>
      </w:r>
      <w:r w:rsidR="00E7564A">
        <w:t xml:space="preserve"> Les niveaux TRL </w:t>
      </w:r>
      <w:r w:rsidR="001A5751">
        <w:t>3-&gt;5</w:t>
      </w:r>
      <w:r w:rsidR="00E7564A">
        <w:t xml:space="preserve"> sont ici vi</w:t>
      </w:r>
      <w:r w:rsidR="00000870">
        <w:t>sés. L</w:t>
      </w:r>
      <w:r w:rsidR="009A737D">
        <w:t>’étude de faisabilité s’attachera à répondre aux questions telles que</w:t>
      </w:r>
      <w:r w:rsidR="000D536F">
        <w:t> :</w:t>
      </w:r>
    </w:p>
    <w:p w14:paraId="04FDBAA7" w14:textId="74C9FC46" w:rsidR="002273E1" w:rsidRDefault="002273E1" w:rsidP="00B15D96">
      <w:pPr>
        <w:pStyle w:val="Paragraphedeliste"/>
        <w:numPr>
          <w:ilvl w:val="0"/>
          <w:numId w:val="7"/>
        </w:numPr>
        <w:spacing w:after="55" w:line="259" w:lineRule="auto"/>
      </w:pPr>
      <w:r>
        <w:t>L’IA générative est-elle la solution la plus appropriée pour le problème visé ?</w:t>
      </w:r>
    </w:p>
    <w:p w14:paraId="1BEC280E" w14:textId="4EAE04DF" w:rsidR="00E964FE" w:rsidRDefault="00477B1D" w:rsidP="00B15D96">
      <w:pPr>
        <w:pStyle w:val="Paragraphedeliste"/>
        <w:numPr>
          <w:ilvl w:val="0"/>
          <w:numId w:val="7"/>
        </w:numPr>
        <w:spacing w:after="55" w:line="259" w:lineRule="auto"/>
      </w:pPr>
      <w:r>
        <w:t xml:space="preserve">Quels modèles ou types de modèles </w:t>
      </w:r>
      <w:r w:rsidR="006E2609">
        <w:t>sont-ils les plus appropriés pour</w:t>
      </w:r>
      <w:r w:rsidR="002B4869">
        <w:t xml:space="preserve"> le problème visé</w:t>
      </w:r>
      <w:r w:rsidR="00E964FE">
        <w:t xml:space="preserve"> </w:t>
      </w:r>
      <w:r>
        <w:t>?</w:t>
      </w:r>
      <w:r w:rsidR="00FA24BD">
        <w:t xml:space="preserve"> Quel niveau de dépendance </w:t>
      </w:r>
      <w:r w:rsidR="00B15D96">
        <w:t>au modèle choisi est-il acceptable ?</w:t>
      </w:r>
      <w:r w:rsidR="00BF1AE1">
        <w:t xml:space="preserve"> Comment le modèle sera-t-il maintenu et mis à jour ?</w:t>
      </w:r>
    </w:p>
    <w:p w14:paraId="7F311119" w14:textId="3A9AEF10" w:rsidR="00131727" w:rsidRDefault="00184B02" w:rsidP="000D536F">
      <w:pPr>
        <w:pStyle w:val="Paragraphedeliste"/>
        <w:numPr>
          <w:ilvl w:val="0"/>
          <w:numId w:val="7"/>
        </w:numPr>
        <w:spacing w:after="55" w:line="259" w:lineRule="auto"/>
      </w:pPr>
      <w:r>
        <w:t xml:space="preserve">Les données disponibles </w:t>
      </w:r>
      <w:r w:rsidR="00B2163F">
        <w:t>sont-elles</w:t>
      </w:r>
      <w:r>
        <w:t xml:space="preserve"> </w:t>
      </w:r>
      <w:r w:rsidR="00527009">
        <w:t>suffisantes, représentatives et non biaisées ?</w:t>
      </w:r>
    </w:p>
    <w:p w14:paraId="00894821" w14:textId="25960F46" w:rsidR="00D22AC3" w:rsidRDefault="00E030D7" w:rsidP="000D536F">
      <w:pPr>
        <w:pStyle w:val="Paragraphedeliste"/>
        <w:numPr>
          <w:ilvl w:val="0"/>
          <w:numId w:val="7"/>
        </w:numPr>
        <w:spacing w:after="55" w:line="259" w:lineRule="auto"/>
      </w:pPr>
      <w:r>
        <w:t xml:space="preserve">Comment la confidentialité, la sécurité et </w:t>
      </w:r>
      <w:r w:rsidR="00FA186B">
        <w:t>la conformité (GDPR…) des données seront-elles assurées ?</w:t>
      </w:r>
    </w:p>
    <w:p w14:paraId="667932C1" w14:textId="750415DD" w:rsidR="00EF6A6A" w:rsidRDefault="00EF6A6A" w:rsidP="000D536F">
      <w:pPr>
        <w:pStyle w:val="Paragraphedeliste"/>
        <w:numPr>
          <w:ilvl w:val="0"/>
          <w:numId w:val="7"/>
        </w:numPr>
        <w:spacing w:after="55" w:line="259" w:lineRule="auto"/>
      </w:pPr>
      <w:r>
        <w:t>Comme</w:t>
      </w:r>
      <w:r w:rsidR="00045582">
        <w:t>nt</w:t>
      </w:r>
      <w:r>
        <w:t xml:space="preserve"> la solution sera-t-elle testée ? Quel niveau minimal de performance est-il requis ?</w:t>
      </w:r>
    </w:p>
    <w:p w14:paraId="29F005E7" w14:textId="24BD580B" w:rsidR="001273EE" w:rsidRDefault="001C561E" w:rsidP="008C59CB">
      <w:pPr>
        <w:pStyle w:val="Paragraphedeliste"/>
        <w:numPr>
          <w:ilvl w:val="0"/>
          <w:numId w:val="7"/>
        </w:numPr>
        <w:spacing w:after="55" w:line="259" w:lineRule="auto"/>
      </w:pPr>
      <w:r>
        <w:t>La solution</w:t>
      </w:r>
      <w:r w:rsidR="00295AEE">
        <w:t xml:space="preserve"> peut-elle ‘scaler’ ?</w:t>
      </w:r>
      <w:r w:rsidR="00A14431">
        <w:t xml:space="preserve"> </w:t>
      </w:r>
      <w:r w:rsidR="00044A67">
        <w:t>Quelle infrastructure technique est-elle envisagée ?</w:t>
      </w:r>
    </w:p>
    <w:p w14:paraId="52545F18" w14:textId="7DB9E8FC" w:rsidR="00AB62C7" w:rsidRDefault="00AB62C7" w:rsidP="008C59CB">
      <w:pPr>
        <w:pStyle w:val="Paragraphedeliste"/>
        <w:numPr>
          <w:ilvl w:val="0"/>
          <w:numId w:val="7"/>
        </w:numPr>
        <w:spacing w:after="55" w:line="259" w:lineRule="auto"/>
      </w:pPr>
      <w:r>
        <w:t>…</w:t>
      </w:r>
    </w:p>
    <w:p w14:paraId="37E291EA" w14:textId="77777777" w:rsidR="001273EE" w:rsidRDefault="001273EE" w:rsidP="001273EE">
      <w:pPr>
        <w:spacing w:after="55" w:line="259" w:lineRule="auto"/>
      </w:pPr>
    </w:p>
    <w:p w14:paraId="266E116C" w14:textId="765464B2" w:rsidR="002D21E1" w:rsidRDefault="001273EE" w:rsidP="008B54FB">
      <w:pPr>
        <w:spacing w:after="240" w:line="259" w:lineRule="auto"/>
        <w:ind w:left="11" w:hanging="11"/>
      </w:pPr>
      <w:r>
        <w:t xml:space="preserve">Au-delà de répondre à </w:t>
      </w:r>
      <w:r w:rsidR="00AB62C7">
        <w:t>ces</w:t>
      </w:r>
      <w:r>
        <w:t xml:space="preserve"> questions</w:t>
      </w:r>
      <w:r w:rsidR="00BD423A">
        <w:t xml:space="preserve"> techniques et</w:t>
      </w:r>
      <w:r>
        <w:t xml:space="preserve"> le développement d’une preuve de concept,</w:t>
      </w:r>
      <w:r w:rsidR="00BD423A">
        <w:t xml:space="preserve"> le projet est également l’occasion pour le</w:t>
      </w:r>
      <w:r w:rsidR="00AB62C7">
        <w:t xml:space="preserve">s sociétés de répondre </w:t>
      </w:r>
      <w:r w:rsidR="00EF28F9">
        <w:t>à des questions orientées</w:t>
      </w:r>
      <w:r w:rsidR="001218EA">
        <w:t xml:space="preserve"> business telles que :</w:t>
      </w:r>
    </w:p>
    <w:p w14:paraId="4A928D38" w14:textId="0193F7DE" w:rsidR="00662B3F" w:rsidRDefault="00D03999" w:rsidP="001218EA">
      <w:pPr>
        <w:pStyle w:val="Paragraphedeliste"/>
        <w:numPr>
          <w:ilvl w:val="0"/>
          <w:numId w:val="7"/>
        </w:numPr>
        <w:spacing w:after="55" w:line="259" w:lineRule="auto"/>
      </w:pPr>
      <w:r>
        <w:t>Quels sont les coûts et les revenus associés à la solution</w:t>
      </w:r>
      <w:r w:rsidR="00870A05">
        <w:t xml:space="preserve"> </w:t>
      </w:r>
      <w:r w:rsidR="00C93214">
        <w:t>GENAI </w:t>
      </w:r>
      <w:r w:rsidR="00870A05">
        <w:t>? Le</w:t>
      </w:r>
      <w:r w:rsidR="00662B3F">
        <w:t xml:space="preserve"> retour sur investissement attendu </w:t>
      </w:r>
      <w:r w:rsidR="00870A05">
        <w:t>est-il satisfaisant</w:t>
      </w:r>
      <w:r w:rsidR="00662B3F">
        <w:t> ?</w:t>
      </w:r>
    </w:p>
    <w:p w14:paraId="7B62D41D" w14:textId="508EE7DB" w:rsidR="002C0F63" w:rsidRDefault="002C0F63" w:rsidP="001218EA">
      <w:pPr>
        <w:pStyle w:val="Paragraphedeliste"/>
        <w:numPr>
          <w:ilvl w:val="0"/>
          <w:numId w:val="7"/>
        </w:numPr>
        <w:spacing w:after="55" w:line="259" w:lineRule="auto"/>
      </w:pPr>
      <w:r>
        <w:t xml:space="preserve">Comment </w:t>
      </w:r>
      <w:r w:rsidR="00E342BB">
        <w:t>le contenu généré</w:t>
      </w:r>
      <w:r w:rsidR="004523BF">
        <w:t xml:space="preserve"> (texte, image, code, …) sera-t-il </w:t>
      </w:r>
      <w:r w:rsidR="004C406A">
        <w:t>traité en termes de propriété ou de responsabilité ?</w:t>
      </w:r>
    </w:p>
    <w:p w14:paraId="5EECF508" w14:textId="350EB4BE" w:rsidR="004C406A" w:rsidRDefault="00C02768" w:rsidP="001218EA">
      <w:pPr>
        <w:pStyle w:val="Paragraphedeliste"/>
        <w:numPr>
          <w:ilvl w:val="0"/>
          <w:numId w:val="7"/>
        </w:numPr>
        <w:spacing w:after="55" w:line="259" w:lineRule="auto"/>
      </w:pPr>
      <w:r>
        <w:t>Quels sont les risques techniques</w:t>
      </w:r>
      <w:r w:rsidR="0010428A">
        <w:t xml:space="preserve">, opérationnels et stratégiques associés à la solution ? </w:t>
      </w:r>
      <w:r w:rsidR="00563C67">
        <w:t>Comment les risques éthiques et réputationnels seront-ils gérés ?</w:t>
      </w:r>
      <w:r w:rsidR="005873A6">
        <w:t xml:space="preserve"> </w:t>
      </w:r>
    </w:p>
    <w:p w14:paraId="6B926508" w14:textId="43FC17A2" w:rsidR="0010428A" w:rsidRDefault="009002B5" w:rsidP="001218EA">
      <w:pPr>
        <w:pStyle w:val="Paragraphedeliste"/>
        <w:numPr>
          <w:ilvl w:val="0"/>
          <w:numId w:val="7"/>
        </w:numPr>
        <w:spacing w:after="55" w:line="259" w:lineRule="auto"/>
      </w:pPr>
      <w:r>
        <w:t>…</w:t>
      </w:r>
    </w:p>
    <w:p w14:paraId="3B578619" w14:textId="77777777" w:rsidR="00DD142B" w:rsidRDefault="00DD142B" w:rsidP="00DD142B">
      <w:pPr>
        <w:spacing w:after="55" w:line="259" w:lineRule="auto"/>
      </w:pPr>
    </w:p>
    <w:p w14:paraId="04CF9738" w14:textId="71257C09" w:rsidR="00EC5569" w:rsidRDefault="00FC48CA" w:rsidP="00FC48CA">
      <w:pPr>
        <w:spacing w:after="55" w:line="259" w:lineRule="auto"/>
      </w:pPr>
      <w:r w:rsidRPr="00FC48CA">
        <w:t>En fin de projet, les entreprises seront dès lors en mesure de décider d</w:t>
      </w:r>
      <w:r>
        <w:t>e la poursuite ou non de ses développements d’IA générative.</w:t>
      </w:r>
    </w:p>
    <w:p w14:paraId="42FAD384" w14:textId="77777777" w:rsidR="00EC5569" w:rsidRDefault="00EC5569" w:rsidP="00DD142B">
      <w:pPr>
        <w:spacing w:after="55" w:line="259" w:lineRule="auto"/>
      </w:pPr>
    </w:p>
    <w:p w14:paraId="16D4149D" w14:textId="62BB5839" w:rsidR="00BB45F0" w:rsidRDefault="00420A89" w:rsidP="00DD142B">
      <w:pPr>
        <w:spacing w:after="55" w:line="259" w:lineRule="auto"/>
      </w:pPr>
      <w:r>
        <w:t>Les projets</w:t>
      </w:r>
      <w:r w:rsidR="00F10A34">
        <w:t xml:space="preserve"> peuvent concerner le/les </w:t>
      </w:r>
      <w:r w:rsidR="00F10A34" w:rsidRPr="00245D0F">
        <w:rPr>
          <w:b/>
          <w:bCs/>
        </w:rPr>
        <w:t>produit(s) et service(s)</w:t>
      </w:r>
      <w:r w:rsidR="00F10A34">
        <w:t xml:space="preserve"> de l’entreprise</w:t>
      </w:r>
      <w:r w:rsidR="004E382D">
        <w:t xml:space="preserve"> ou les </w:t>
      </w:r>
      <w:r w:rsidR="004E382D" w:rsidRPr="00245D0F">
        <w:rPr>
          <w:b/>
          <w:bCs/>
        </w:rPr>
        <w:t>processus internes</w:t>
      </w:r>
      <w:r w:rsidR="004E382D">
        <w:t xml:space="preserve"> de celle-ci.</w:t>
      </w:r>
      <w:r w:rsidR="00910D49">
        <w:t xml:space="preserve"> L’on attend </w:t>
      </w:r>
      <w:r w:rsidR="00247C36">
        <w:t xml:space="preserve">toutefois </w:t>
      </w:r>
      <w:r w:rsidR="00910D49">
        <w:t xml:space="preserve">un degré </w:t>
      </w:r>
      <w:r w:rsidR="00910D49" w:rsidRPr="00FF695A">
        <w:rPr>
          <w:b/>
          <w:bCs/>
        </w:rPr>
        <w:t>d</w:t>
      </w:r>
      <w:r w:rsidR="00FF695A" w:rsidRPr="00FF695A">
        <w:rPr>
          <w:b/>
          <w:bCs/>
        </w:rPr>
        <w:t>’intégration</w:t>
      </w:r>
      <w:r w:rsidR="00023CC0">
        <w:rPr>
          <w:b/>
          <w:bCs/>
        </w:rPr>
        <w:t>, de contextualisation</w:t>
      </w:r>
      <w:r w:rsidR="00FF695A" w:rsidRPr="00FF695A">
        <w:rPr>
          <w:b/>
          <w:bCs/>
        </w:rPr>
        <w:t xml:space="preserve"> et d</w:t>
      </w:r>
      <w:r w:rsidR="00910D49" w:rsidRPr="00FF695A">
        <w:rPr>
          <w:b/>
          <w:bCs/>
        </w:rPr>
        <w:t xml:space="preserve">e </w:t>
      </w:r>
      <w:r w:rsidR="005F1BC7">
        <w:rPr>
          <w:b/>
          <w:bCs/>
        </w:rPr>
        <w:t>customisation</w:t>
      </w:r>
      <w:r w:rsidR="002052E5">
        <w:t xml:space="preserve"> propre à l’entreprise des technologies de GENAI.</w:t>
      </w:r>
      <w:r w:rsidR="00216C5E">
        <w:t xml:space="preserve"> Ainsi, par exemple, l</w:t>
      </w:r>
      <w:r w:rsidR="00247C36">
        <w:t xml:space="preserve">e déploiement </w:t>
      </w:r>
      <w:r w:rsidR="00C82C84">
        <w:t xml:space="preserve">et la formation </w:t>
      </w:r>
      <w:r w:rsidR="00247C36">
        <w:t>en interne de l’outil chatgpt</w:t>
      </w:r>
      <w:r w:rsidR="00C82C84">
        <w:t xml:space="preserve"> </w:t>
      </w:r>
      <w:r w:rsidR="00DD694F">
        <w:t xml:space="preserve">standard </w:t>
      </w:r>
      <w:r w:rsidR="002C1BED">
        <w:t xml:space="preserve">ou </w:t>
      </w:r>
      <w:r w:rsidR="008D7176">
        <w:t xml:space="preserve">de l’outil Copilot </w:t>
      </w:r>
      <w:r w:rsidR="00C82C84">
        <w:t>ne peut recevoir le soutien d’Innoviris.</w:t>
      </w:r>
    </w:p>
    <w:p w14:paraId="72234B28" w14:textId="77777777" w:rsidR="002430B4" w:rsidRDefault="002A4BA6" w:rsidP="002430B4">
      <w:pPr>
        <w:spacing w:after="55" w:line="259" w:lineRule="auto"/>
      </w:pPr>
      <w:r>
        <w:t>A contrario</w:t>
      </w:r>
      <w:r w:rsidR="00906232">
        <w:t>, et de façon non exhaustive, l’on peut citer</w:t>
      </w:r>
      <w:r w:rsidR="007D5357">
        <w:t xml:space="preserve"> les idées suivantes comme affichant des niveaux suffisants d</w:t>
      </w:r>
      <w:r w:rsidR="002430B4">
        <w:t>ans l’appropriation des technologies :</w:t>
      </w:r>
    </w:p>
    <w:p w14:paraId="28411B27" w14:textId="0D7A86D2" w:rsidR="00D044C3" w:rsidRDefault="002809FA" w:rsidP="002430B4">
      <w:pPr>
        <w:pStyle w:val="Paragraphedeliste"/>
        <w:numPr>
          <w:ilvl w:val="0"/>
          <w:numId w:val="13"/>
        </w:numPr>
        <w:spacing w:after="55" w:line="259" w:lineRule="auto"/>
      </w:pPr>
      <w:r w:rsidRPr="00392EF9">
        <w:rPr>
          <w:b/>
          <w:bCs/>
        </w:rPr>
        <w:t>Hyperpersonnalisation</w:t>
      </w:r>
      <w:r w:rsidR="002A2E17">
        <w:t xml:space="preserve"> : </w:t>
      </w:r>
      <w:r w:rsidR="007802B4">
        <w:t>proposer des recommandations de produits ou contenus en fonction des préférences individuelles</w:t>
      </w:r>
      <w:r w:rsidR="00D044C3">
        <w:t> </w:t>
      </w:r>
      <w:r w:rsidR="00EA193E">
        <w:t>grâce</w:t>
      </w:r>
      <w:r w:rsidR="00330900">
        <w:t xml:space="preserve"> au traitement de grandes quantités de données ;</w:t>
      </w:r>
    </w:p>
    <w:p w14:paraId="272BB181" w14:textId="771E43B7" w:rsidR="00A22DB1" w:rsidRDefault="00A22DB1" w:rsidP="002430B4">
      <w:pPr>
        <w:pStyle w:val="Paragraphedeliste"/>
        <w:numPr>
          <w:ilvl w:val="0"/>
          <w:numId w:val="13"/>
        </w:numPr>
        <w:spacing w:after="55" w:line="259" w:lineRule="auto"/>
      </w:pPr>
      <w:r w:rsidRPr="00392EF9">
        <w:rPr>
          <w:b/>
          <w:bCs/>
        </w:rPr>
        <w:lastRenderedPageBreak/>
        <w:t>Nouvelles interfaces</w:t>
      </w:r>
      <w:r w:rsidR="001572D7" w:rsidRPr="00392EF9">
        <w:rPr>
          <w:b/>
          <w:bCs/>
        </w:rPr>
        <w:t xml:space="preserve"> utilisateurs</w:t>
      </w:r>
      <w:r w:rsidR="001572D7">
        <w:t> : les</w:t>
      </w:r>
      <w:r w:rsidR="00B4561B">
        <w:t xml:space="preserve"> </w:t>
      </w:r>
      <w:r w:rsidR="001572D7">
        <w:t xml:space="preserve">techniques </w:t>
      </w:r>
      <w:r w:rsidR="00C93214">
        <w:t xml:space="preserve">GENAI </w:t>
      </w:r>
      <w:r w:rsidR="00B4561B">
        <w:t>permettent de réinventer l’interface utilisateur</w:t>
      </w:r>
      <w:r w:rsidR="003C0021">
        <w:t xml:space="preserve"> et améliorer l’efficacité des </w:t>
      </w:r>
      <w:r w:rsidR="00550776">
        <w:t>systèmes logiciels mais aussi de transformer fondamentalement la façon dont les employés intera</w:t>
      </w:r>
      <w:r w:rsidR="00CB5658">
        <w:t xml:space="preserve">gissent avec ces outils ; </w:t>
      </w:r>
    </w:p>
    <w:p w14:paraId="2DA2EAE8" w14:textId="1866A3AA" w:rsidR="003F2821" w:rsidRDefault="003F2821" w:rsidP="002430B4">
      <w:pPr>
        <w:pStyle w:val="Paragraphedeliste"/>
        <w:numPr>
          <w:ilvl w:val="0"/>
          <w:numId w:val="13"/>
        </w:numPr>
        <w:spacing w:after="55" w:line="259" w:lineRule="auto"/>
      </w:pPr>
      <w:r w:rsidRPr="001C5450">
        <w:rPr>
          <w:b/>
          <w:bCs/>
        </w:rPr>
        <w:t>Scaling</w:t>
      </w:r>
      <w:r w:rsidR="001C5450">
        <w:rPr>
          <w:b/>
          <w:bCs/>
        </w:rPr>
        <w:t xml:space="preserve"> </w:t>
      </w:r>
      <w:r>
        <w:t>:</w:t>
      </w:r>
      <w:r w:rsidR="009C666B">
        <w:t xml:space="preserve"> l’IA générative </w:t>
      </w:r>
      <w:r w:rsidR="0001706A">
        <w:t>peut</w:t>
      </w:r>
      <w:r w:rsidR="009C666B">
        <w:t xml:space="preserve"> générer rapidement</w:t>
      </w:r>
      <w:r w:rsidR="007F0583">
        <w:t xml:space="preserve"> des résultats de haute qualité, permettant aux entreprises de proposer de</w:t>
      </w:r>
      <w:r w:rsidR="00753035">
        <w:t xml:space="preserve"> nouvelles offres et se développer sur de nouveaux marchés </w:t>
      </w:r>
      <w:r w:rsidR="003F4853">
        <w:t xml:space="preserve">à un rythme inégalé et </w:t>
      </w:r>
      <w:r w:rsidR="00753035">
        <w:t>sans perte de qualité</w:t>
      </w:r>
      <w:r w:rsidR="003F4853">
        <w:t> ;</w:t>
      </w:r>
    </w:p>
    <w:p w14:paraId="41618D4A" w14:textId="6951A7AD" w:rsidR="00221F9F" w:rsidRDefault="00631765" w:rsidP="002430B4">
      <w:pPr>
        <w:pStyle w:val="Paragraphedeliste"/>
        <w:numPr>
          <w:ilvl w:val="0"/>
          <w:numId w:val="13"/>
        </w:numPr>
        <w:spacing w:after="55" w:line="259" w:lineRule="auto"/>
      </w:pPr>
      <w:r w:rsidRPr="00392EF9">
        <w:rPr>
          <w:b/>
          <w:bCs/>
        </w:rPr>
        <w:t>Service-client amélioré</w:t>
      </w:r>
      <w:r>
        <w:t xml:space="preserve"> : </w:t>
      </w:r>
      <w:r w:rsidR="00210D32">
        <w:t>le développement de chatbots</w:t>
      </w:r>
      <w:r w:rsidR="000F1BCE">
        <w:t xml:space="preserve"> capables de comprendre et répondre </w:t>
      </w:r>
      <w:r w:rsidR="00330900">
        <w:t xml:space="preserve">efficacement </w:t>
      </w:r>
      <w:r w:rsidR="000F1BCE">
        <w:t>aux besoins</w:t>
      </w:r>
      <w:r w:rsidR="00330900">
        <w:t xml:space="preserve"> complexes</w:t>
      </w:r>
      <w:r w:rsidR="000F1BCE">
        <w:t xml:space="preserve"> des clients ;</w:t>
      </w:r>
    </w:p>
    <w:p w14:paraId="28C0E889" w14:textId="45C39E37" w:rsidR="000F1BCE" w:rsidRDefault="00F665DD" w:rsidP="002430B4">
      <w:pPr>
        <w:pStyle w:val="Paragraphedeliste"/>
        <w:numPr>
          <w:ilvl w:val="0"/>
          <w:numId w:val="13"/>
        </w:numPr>
        <w:spacing w:after="55" w:line="259" w:lineRule="auto"/>
      </w:pPr>
      <w:r w:rsidRPr="00392EF9">
        <w:rPr>
          <w:b/>
          <w:bCs/>
        </w:rPr>
        <w:t>Gains d’efficience </w:t>
      </w:r>
      <w:r w:rsidR="00FE102C" w:rsidRPr="00392EF9">
        <w:rPr>
          <w:b/>
          <w:bCs/>
        </w:rPr>
        <w:t>internes</w:t>
      </w:r>
      <w:r w:rsidR="00FE102C">
        <w:t xml:space="preserve"> </w:t>
      </w:r>
      <w:r>
        <w:t xml:space="preserve">: </w:t>
      </w:r>
      <w:r w:rsidR="00FE102C">
        <w:t>l’IA générative</w:t>
      </w:r>
      <w:r w:rsidR="00D60B55">
        <w:t xml:space="preserve"> permet d’automatiser certaines </w:t>
      </w:r>
      <w:r w:rsidR="00A84958">
        <w:t>tâches</w:t>
      </w:r>
      <w:r w:rsidR="00D60B55">
        <w:t xml:space="preserve"> et workflows internes</w:t>
      </w:r>
      <w:r w:rsidR="006629F3">
        <w:t xml:space="preserve"> (e.g.</w:t>
      </w:r>
      <w:r w:rsidR="00B72D80">
        <w:t xml:space="preserve"> tests automatiques)</w:t>
      </w:r>
      <w:r w:rsidR="00A84958">
        <w:t xml:space="preserve">, réduire les erreurs humaines </w:t>
      </w:r>
      <w:r w:rsidR="00585BE8">
        <w:t xml:space="preserve">et libérer du temps pour des activités à plus haute valeur ajoutée ; </w:t>
      </w:r>
    </w:p>
    <w:p w14:paraId="7534FF99" w14:textId="2CC53650" w:rsidR="00280E12" w:rsidRDefault="00280E12" w:rsidP="002430B4">
      <w:pPr>
        <w:pStyle w:val="Paragraphedeliste"/>
        <w:numPr>
          <w:ilvl w:val="0"/>
          <w:numId w:val="13"/>
        </w:numPr>
        <w:spacing w:after="55" w:line="259" w:lineRule="auto"/>
      </w:pPr>
      <w:r>
        <w:t>…</w:t>
      </w:r>
    </w:p>
    <w:p w14:paraId="787D8F13" w14:textId="6AD90C85" w:rsidR="00CF1A13" w:rsidRDefault="00CF1A13" w:rsidP="001A761C">
      <w:pPr>
        <w:spacing w:after="55" w:line="259" w:lineRule="auto"/>
        <w:ind w:left="0" w:firstLine="0"/>
      </w:pPr>
    </w:p>
    <w:p w14:paraId="6F6CA52A" w14:textId="77777777" w:rsidR="001A761C" w:rsidRDefault="001A761C" w:rsidP="001A761C">
      <w:pPr>
        <w:spacing w:after="55" w:line="259" w:lineRule="auto"/>
        <w:ind w:left="0" w:firstLine="0"/>
      </w:pPr>
    </w:p>
    <w:p w14:paraId="5EC5EB8C" w14:textId="77777777" w:rsidR="001A761C" w:rsidRDefault="001A761C" w:rsidP="001A761C">
      <w:pPr>
        <w:spacing w:after="55" w:line="259" w:lineRule="auto"/>
        <w:ind w:left="0" w:firstLine="0"/>
      </w:pPr>
    </w:p>
    <w:p w14:paraId="49E18C32" w14:textId="77777777" w:rsidR="00C21DC5" w:rsidRDefault="00C21DC5" w:rsidP="00C21DC5">
      <w:pPr>
        <w:pStyle w:val="Titre1"/>
        <w:ind w:left="-5"/>
      </w:pPr>
      <w:r>
        <w:t>Modalités de financement et frais éligibles</w:t>
      </w:r>
    </w:p>
    <w:p w14:paraId="6CCC42C3" w14:textId="77777777" w:rsidR="00C21DC5" w:rsidRDefault="00C21DC5" w:rsidP="00C21DC5">
      <w:pPr>
        <w:spacing w:after="55" w:line="259" w:lineRule="auto"/>
        <w:ind w:left="0" w:firstLine="0"/>
        <w:jc w:val="left"/>
        <w:rPr>
          <w:b/>
        </w:rPr>
      </w:pPr>
      <w:r>
        <w:rPr>
          <w:b/>
        </w:rPr>
        <w:t xml:space="preserve"> </w:t>
      </w:r>
    </w:p>
    <w:p w14:paraId="3AD83044" w14:textId="52439577" w:rsidR="00D25426" w:rsidRDefault="00D25426" w:rsidP="00D25426">
      <w:pPr>
        <w:spacing w:after="0" w:line="240" w:lineRule="auto"/>
        <w:rPr>
          <w:szCs w:val="20"/>
        </w:rPr>
      </w:pPr>
      <w:r>
        <w:rPr>
          <w:szCs w:val="20"/>
        </w:rPr>
        <w:t xml:space="preserve">Les projets sont financés sous la forme de </w:t>
      </w:r>
      <w:r w:rsidRPr="007E0E67">
        <w:rPr>
          <w:b/>
          <w:bCs/>
          <w:szCs w:val="20"/>
        </w:rPr>
        <w:t>subside</w:t>
      </w:r>
      <w:r>
        <w:rPr>
          <w:szCs w:val="20"/>
        </w:rPr>
        <w:t xml:space="preserve"> </w:t>
      </w:r>
      <w:r w:rsidR="007E0E67">
        <w:rPr>
          <w:szCs w:val="20"/>
        </w:rPr>
        <w:t>dont l’intensité est fonction de</w:t>
      </w:r>
      <w:r>
        <w:rPr>
          <w:szCs w:val="20"/>
        </w:rPr>
        <w:t xml:space="preserve"> la taille de l’entreprise </w:t>
      </w:r>
      <w:r w:rsidR="003505F4">
        <w:rPr>
          <w:szCs w:val="20"/>
        </w:rPr>
        <w:t>selon le tableau c</w:t>
      </w:r>
      <w:r>
        <w:rPr>
          <w:szCs w:val="20"/>
        </w:rPr>
        <w:t>i-dessous</w:t>
      </w:r>
      <w:r w:rsidR="00583516">
        <w:rPr>
          <w:szCs w:val="20"/>
        </w:rPr>
        <w:t xml:space="preserve"> : </w:t>
      </w:r>
    </w:p>
    <w:p w14:paraId="12C06F62" w14:textId="77777777" w:rsidR="00D25426" w:rsidRDefault="00D25426" w:rsidP="00D25426">
      <w:pPr>
        <w:spacing w:after="0" w:line="240" w:lineRule="auto"/>
        <w:rPr>
          <w:szCs w:val="20"/>
        </w:rPr>
      </w:pPr>
    </w:p>
    <w:tbl>
      <w:tblPr>
        <w:tblStyle w:val="Grilledutableau"/>
        <w:tblW w:w="0" w:type="auto"/>
        <w:jc w:val="center"/>
        <w:tblLook w:val="04A0" w:firstRow="1" w:lastRow="0" w:firstColumn="1" w:lastColumn="0" w:noHBand="0" w:noVBand="1"/>
      </w:tblPr>
      <w:tblGrid>
        <w:gridCol w:w="2263"/>
        <w:gridCol w:w="2410"/>
      </w:tblGrid>
      <w:tr w:rsidR="00D25426" w14:paraId="2CD28A1B" w14:textId="77777777" w:rsidTr="007E28D7">
        <w:trPr>
          <w:trHeight w:val="356"/>
          <w:jc w:val="center"/>
        </w:trPr>
        <w:tc>
          <w:tcPr>
            <w:tcW w:w="2263" w:type="dxa"/>
          </w:tcPr>
          <w:p w14:paraId="7B7DAB6F" w14:textId="77777777" w:rsidR="00D25426" w:rsidRDefault="00D25426" w:rsidP="001B103F">
            <w:pPr>
              <w:rPr>
                <w:b/>
                <w:bCs/>
                <w:szCs w:val="20"/>
              </w:rPr>
            </w:pPr>
            <w:r>
              <w:rPr>
                <w:b/>
                <w:bCs/>
                <w:szCs w:val="20"/>
              </w:rPr>
              <w:t>Taille de l’entreprise</w:t>
            </w:r>
          </w:p>
        </w:tc>
        <w:tc>
          <w:tcPr>
            <w:tcW w:w="2410" w:type="dxa"/>
          </w:tcPr>
          <w:p w14:paraId="1F26C14E" w14:textId="78B503C9" w:rsidR="00D25426" w:rsidRDefault="00D25426" w:rsidP="001B103F">
            <w:pPr>
              <w:rPr>
                <w:b/>
                <w:bCs/>
                <w:szCs w:val="20"/>
              </w:rPr>
            </w:pPr>
            <w:r>
              <w:rPr>
                <w:b/>
                <w:bCs/>
                <w:szCs w:val="20"/>
              </w:rPr>
              <w:t>Taux d’intervention</w:t>
            </w:r>
          </w:p>
        </w:tc>
      </w:tr>
      <w:tr w:rsidR="00D25426" w14:paraId="2F5318CF" w14:textId="77777777" w:rsidTr="007E28D7">
        <w:trPr>
          <w:jc w:val="center"/>
        </w:trPr>
        <w:tc>
          <w:tcPr>
            <w:tcW w:w="2263" w:type="dxa"/>
          </w:tcPr>
          <w:p w14:paraId="2408ED33" w14:textId="77777777" w:rsidR="00D25426" w:rsidRPr="00FD790E" w:rsidRDefault="00D25426" w:rsidP="001B103F">
            <w:pPr>
              <w:rPr>
                <w:szCs w:val="20"/>
              </w:rPr>
            </w:pPr>
            <w:r w:rsidRPr="00FD790E">
              <w:rPr>
                <w:szCs w:val="20"/>
              </w:rPr>
              <w:t>(T)PE</w:t>
            </w:r>
          </w:p>
        </w:tc>
        <w:tc>
          <w:tcPr>
            <w:tcW w:w="2410" w:type="dxa"/>
          </w:tcPr>
          <w:p w14:paraId="05808AA2" w14:textId="77777777" w:rsidR="00D25426" w:rsidRPr="00FD790E" w:rsidRDefault="00D25426" w:rsidP="001B103F">
            <w:pPr>
              <w:rPr>
                <w:szCs w:val="20"/>
              </w:rPr>
            </w:pPr>
            <w:r w:rsidRPr="00FD790E">
              <w:rPr>
                <w:szCs w:val="20"/>
              </w:rPr>
              <w:t>70%</w:t>
            </w:r>
          </w:p>
        </w:tc>
      </w:tr>
      <w:tr w:rsidR="00D25426" w14:paraId="5F27AFB6" w14:textId="77777777" w:rsidTr="007E28D7">
        <w:trPr>
          <w:jc w:val="center"/>
        </w:trPr>
        <w:tc>
          <w:tcPr>
            <w:tcW w:w="2263" w:type="dxa"/>
          </w:tcPr>
          <w:p w14:paraId="21EB7A45" w14:textId="77777777" w:rsidR="00D25426" w:rsidRPr="00FD790E" w:rsidRDefault="00D25426" w:rsidP="001B103F">
            <w:pPr>
              <w:rPr>
                <w:szCs w:val="20"/>
              </w:rPr>
            </w:pPr>
            <w:r w:rsidRPr="00FD790E">
              <w:rPr>
                <w:szCs w:val="20"/>
              </w:rPr>
              <w:t>ME</w:t>
            </w:r>
          </w:p>
        </w:tc>
        <w:tc>
          <w:tcPr>
            <w:tcW w:w="2410" w:type="dxa"/>
          </w:tcPr>
          <w:p w14:paraId="61BE5DF7" w14:textId="77777777" w:rsidR="00D25426" w:rsidRPr="00FD790E" w:rsidRDefault="00D25426" w:rsidP="001B103F">
            <w:pPr>
              <w:rPr>
                <w:szCs w:val="20"/>
              </w:rPr>
            </w:pPr>
            <w:r w:rsidRPr="00FD790E">
              <w:rPr>
                <w:szCs w:val="20"/>
              </w:rPr>
              <w:t>60%</w:t>
            </w:r>
          </w:p>
        </w:tc>
      </w:tr>
      <w:tr w:rsidR="00D25426" w14:paraId="60C9C530" w14:textId="77777777" w:rsidTr="007E28D7">
        <w:trPr>
          <w:jc w:val="center"/>
        </w:trPr>
        <w:tc>
          <w:tcPr>
            <w:tcW w:w="2263" w:type="dxa"/>
          </w:tcPr>
          <w:p w14:paraId="108CB0F0" w14:textId="77777777" w:rsidR="00D25426" w:rsidRPr="00FD790E" w:rsidRDefault="00D25426" w:rsidP="001B103F">
            <w:pPr>
              <w:rPr>
                <w:szCs w:val="20"/>
              </w:rPr>
            </w:pPr>
            <w:r w:rsidRPr="00FD790E">
              <w:rPr>
                <w:szCs w:val="20"/>
              </w:rPr>
              <w:t>GE</w:t>
            </w:r>
          </w:p>
        </w:tc>
        <w:tc>
          <w:tcPr>
            <w:tcW w:w="2410" w:type="dxa"/>
          </w:tcPr>
          <w:p w14:paraId="006C962C" w14:textId="77777777" w:rsidR="00D25426" w:rsidRPr="00FD790E" w:rsidRDefault="00D25426" w:rsidP="001B103F">
            <w:pPr>
              <w:rPr>
                <w:szCs w:val="20"/>
              </w:rPr>
            </w:pPr>
            <w:r w:rsidRPr="00FD790E">
              <w:rPr>
                <w:szCs w:val="20"/>
              </w:rPr>
              <w:t>50%</w:t>
            </w:r>
          </w:p>
        </w:tc>
      </w:tr>
    </w:tbl>
    <w:p w14:paraId="00E6F378" w14:textId="77777777" w:rsidR="007E28D7" w:rsidRDefault="007E28D7" w:rsidP="001218EA">
      <w:pPr>
        <w:spacing w:after="55" w:line="259" w:lineRule="auto"/>
        <w:ind w:left="0" w:firstLine="0"/>
      </w:pPr>
    </w:p>
    <w:p w14:paraId="2BA10092" w14:textId="77777777" w:rsidR="00A45E54" w:rsidRDefault="00A45E54" w:rsidP="001218EA">
      <w:pPr>
        <w:spacing w:after="55" w:line="259" w:lineRule="auto"/>
        <w:ind w:left="0" w:firstLine="0"/>
        <w:rPr>
          <w:b/>
          <w:bCs/>
        </w:rPr>
      </w:pPr>
    </w:p>
    <w:p w14:paraId="3681C288" w14:textId="5FF1AB53" w:rsidR="000E072C" w:rsidRPr="00AE3802" w:rsidRDefault="000E072C" w:rsidP="00A45E54">
      <w:pPr>
        <w:pBdr>
          <w:top w:val="single" w:sz="4" w:space="1" w:color="auto"/>
          <w:left w:val="single" w:sz="4" w:space="4" w:color="auto"/>
          <w:bottom w:val="single" w:sz="4" w:space="1" w:color="auto"/>
          <w:right w:val="single" w:sz="4" w:space="4" w:color="auto"/>
        </w:pBdr>
        <w:spacing w:after="55" w:line="259" w:lineRule="auto"/>
        <w:ind w:left="0" w:firstLine="0"/>
        <w:rPr>
          <w:b/>
          <w:bCs/>
        </w:rPr>
      </w:pPr>
      <w:r w:rsidRPr="00AE3802">
        <w:rPr>
          <w:b/>
          <w:bCs/>
        </w:rPr>
        <w:t xml:space="preserve">Le </w:t>
      </w:r>
      <w:r w:rsidRPr="0076584A">
        <w:rPr>
          <w:b/>
          <w:bCs/>
          <w:u w:val="single"/>
        </w:rPr>
        <w:t>budget</w:t>
      </w:r>
      <w:r w:rsidRPr="00AE3802">
        <w:rPr>
          <w:b/>
          <w:bCs/>
        </w:rPr>
        <w:t xml:space="preserve"> maximum du projet ne peut excéder </w:t>
      </w:r>
      <w:r w:rsidR="00074D9A">
        <w:rPr>
          <w:b/>
          <w:bCs/>
        </w:rPr>
        <w:t>80</w:t>
      </w:r>
      <w:r w:rsidR="007C1829">
        <w:rPr>
          <w:b/>
          <w:bCs/>
        </w:rPr>
        <w:t>.</w:t>
      </w:r>
      <w:r w:rsidR="00074D9A">
        <w:rPr>
          <w:b/>
          <w:bCs/>
        </w:rPr>
        <w:t>00</w:t>
      </w:r>
      <w:r w:rsidR="00B07B55">
        <w:rPr>
          <w:b/>
          <w:bCs/>
        </w:rPr>
        <w:t>0</w:t>
      </w:r>
      <w:r w:rsidRPr="00AE3802">
        <w:rPr>
          <w:b/>
          <w:bCs/>
        </w:rPr>
        <w:t xml:space="preserve"> euros</w:t>
      </w:r>
      <w:r w:rsidR="00F32FB6">
        <w:rPr>
          <w:b/>
          <w:bCs/>
        </w:rPr>
        <w:t xml:space="preserve"> (HTVA</w:t>
      </w:r>
      <w:r w:rsidR="00E44311">
        <w:rPr>
          <w:b/>
          <w:bCs/>
        </w:rPr>
        <w:t>)</w:t>
      </w:r>
      <w:r w:rsidRPr="00AE3802">
        <w:rPr>
          <w:b/>
          <w:bCs/>
        </w:rPr>
        <w:t>.</w:t>
      </w:r>
    </w:p>
    <w:p w14:paraId="36E15348" w14:textId="2D34680F" w:rsidR="000E072C" w:rsidRPr="00A45E54" w:rsidRDefault="00A45E54" w:rsidP="00A45E54">
      <w:pPr>
        <w:pBdr>
          <w:top w:val="single" w:sz="4" w:space="1" w:color="auto"/>
          <w:left w:val="single" w:sz="4" w:space="4" w:color="auto"/>
          <w:bottom w:val="single" w:sz="4" w:space="1" w:color="auto"/>
          <w:right w:val="single" w:sz="4" w:space="4" w:color="auto"/>
        </w:pBdr>
        <w:spacing w:after="55" w:line="259" w:lineRule="auto"/>
        <w:ind w:left="0" w:firstLine="0"/>
        <w:rPr>
          <w:b/>
          <w:bCs/>
        </w:rPr>
      </w:pPr>
      <w:r w:rsidRPr="00A45E54">
        <w:rPr>
          <w:b/>
          <w:bCs/>
        </w:rPr>
        <w:t xml:space="preserve">La durée </w:t>
      </w:r>
      <w:r w:rsidR="00D76E90">
        <w:rPr>
          <w:b/>
          <w:bCs/>
        </w:rPr>
        <w:t>du projet</w:t>
      </w:r>
      <w:r w:rsidRPr="00A45E54">
        <w:rPr>
          <w:b/>
          <w:bCs/>
        </w:rPr>
        <w:t xml:space="preserve"> ne peut excéder </w:t>
      </w:r>
      <w:r w:rsidR="00E07099">
        <w:rPr>
          <w:b/>
          <w:bCs/>
        </w:rPr>
        <w:t xml:space="preserve">10 </w:t>
      </w:r>
      <w:r w:rsidRPr="00A45E54">
        <w:rPr>
          <w:b/>
          <w:bCs/>
        </w:rPr>
        <w:t>mois.</w:t>
      </w:r>
    </w:p>
    <w:p w14:paraId="79507FCA" w14:textId="77777777" w:rsidR="00A45E54" w:rsidRDefault="00A45E54" w:rsidP="001218EA">
      <w:pPr>
        <w:spacing w:after="55" w:line="259" w:lineRule="auto"/>
        <w:ind w:left="0" w:firstLine="0"/>
      </w:pPr>
    </w:p>
    <w:p w14:paraId="1E2D7D5C" w14:textId="3F3926FF" w:rsidR="0093367E" w:rsidRDefault="0093367E" w:rsidP="001218EA">
      <w:pPr>
        <w:spacing w:after="55" w:line="259" w:lineRule="auto"/>
        <w:ind w:left="0" w:firstLine="0"/>
      </w:pPr>
      <w:r>
        <w:t xml:space="preserve">Le subside sera </w:t>
      </w:r>
      <w:r w:rsidR="008546D8">
        <w:t>payé</w:t>
      </w:r>
      <w:r>
        <w:t xml:space="preserve"> en </w:t>
      </w:r>
      <w:r w:rsidR="008546D8">
        <w:t xml:space="preserve">deux tranches : </w:t>
      </w:r>
      <w:r w:rsidR="008546D8" w:rsidRPr="0067408D">
        <w:rPr>
          <w:b/>
          <w:bCs/>
        </w:rPr>
        <w:t>50% au démarrage du projet</w:t>
      </w:r>
      <w:r w:rsidR="0081208A" w:rsidRPr="0067408D">
        <w:rPr>
          <w:b/>
          <w:bCs/>
        </w:rPr>
        <w:t>, 50% au terme du projet</w:t>
      </w:r>
      <w:r w:rsidR="00CC331B">
        <w:t xml:space="preserve"> conditionnellement au reporting classique requis par Innoviris (rapport scientifique, rapport financier et déclaration de créance) et </w:t>
      </w:r>
      <w:r w:rsidR="006D698D">
        <w:t>la validation de</w:t>
      </w:r>
      <w:r w:rsidR="00185DD1">
        <w:t xml:space="preserve"> celui-ci par Innoviris.</w:t>
      </w:r>
      <w:r w:rsidR="00801234">
        <w:t xml:space="preserve"> Le </w:t>
      </w:r>
      <w:r w:rsidR="0001356C">
        <w:t>rapport scientifique sera double : d’une part un rapport présent</w:t>
      </w:r>
      <w:r w:rsidR="00973718">
        <w:t>ant</w:t>
      </w:r>
      <w:r w:rsidR="0001356C">
        <w:t xml:space="preserve"> les réponses aux questions faisant l’objet de l’étude, d’autre part une démonstration de la preuve de concept.</w:t>
      </w:r>
    </w:p>
    <w:p w14:paraId="3EE45E88" w14:textId="77777777" w:rsidR="008546D8" w:rsidRPr="008546D8" w:rsidRDefault="008546D8" w:rsidP="008546D8">
      <w:pPr>
        <w:spacing w:after="55" w:line="259" w:lineRule="auto"/>
        <w:ind w:left="0" w:firstLine="0"/>
      </w:pPr>
    </w:p>
    <w:p w14:paraId="4F7DD5BC" w14:textId="77777777" w:rsidR="0093367E" w:rsidRDefault="0093367E" w:rsidP="001218EA">
      <w:pPr>
        <w:spacing w:after="55" w:line="259" w:lineRule="auto"/>
        <w:ind w:left="0" w:firstLine="0"/>
      </w:pPr>
    </w:p>
    <w:p w14:paraId="1E864639" w14:textId="77777777" w:rsidR="00155CDD" w:rsidRDefault="00155CDD" w:rsidP="00155CDD">
      <w:pPr>
        <w:widowControl w:val="0"/>
        <w:spacing w:after="120" w:line="240" w:lineRule="auto"/>
        <w:rPr>
          <w:rFonts w:eastAsia="SimSun"/>
          <w:szCs w:val="20"/>
          <w:lang w:eastAsia="zh-CN" w:bidi="hi-IN"/>
        </w:rPr>
      </w:pPr>
      <w:r>
        <w:rPr>
          <w:rFonts w:eastAsia="SimSun"/>
          <w:szCs w:val="20"/>
          <w:lang w:eastAsia="zh-CN" w:bidi="hi-IN"/>
        </w:rPr>
        <w:t>Les frais éligibles sont les suivants :</w:t>
      </w:r>
    </w:p>
    <w:p w14:paraId="2040AA63" w14:textId="77777777" w:rsidR="00155CDD"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eastAsia="zh-CN" w:bidi="hi-IN"/>
        </w:rPr>
      </w:pPr>
      <w:r>
        <w:rPr>
          <w:rFonts w:eastAsia="SimSun" w:cs="Mangal"/>
          <w:b/>
          <w:bCs/>
          <w:lang w:eastAsia="zh-CN" w:bidi="hi-IN"/>
        </w:rPr>
        <w:t>Frais de personnel :</w:t>
      </w:r>
      <w:r>
        <w:rPr>
          <w:rFonts w:eastAsia="SimSun" w:cs="Mangal"/>
          <w:lang w:eastAsia="zh-CN" w:bidi="hi-IN"/>
        </w:rPr>
        <w:t xml:space="preserve"> les coûts liés au personnel (salarié ou indépendant) dans la mesure où ils sont employés pour le projet. Les salaires doivent être conformes aux usages et barèmes (le cas échéant) du secteur d’activité visé.</w:t>
      </w:r>
    </w:p>
    <w:p w14:paraId="6BD55BD9" w14:textId="3D5BF85C" w:rsidR="00155CDD"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eastAsia="zh-CN" w:bidi="hi-IN"/>
        </w:rPr>
      </w:pPr>
      <w:r>
        <w:rPr>
          <w:rFonts w:eastAsia="SimSun" w:cs="Mangal"/>
          <w:b/>
          <w:bCs/>
          <w:lang w:eastAsia="zh-CN" w:bidi="hi-IN"/>
        </w:rPr>
        <w:t xml:space="preserve">Frais d’investissement : </w:t>
      </w:r>
      <w:r>
        <w:rPr>
          <w:rFonts w:eastAsia="SimSun" w:cs="Mangal"/>
          <w:lang w:eastAsia="zh-CN" w:bidi="hi-IN"/>
        </w:rPr>
        <w:t>coûts des instruments et équipements utilisés au cours du projet (coût d’achat/durée d’amortissement</w:t>
      </w:r>
      <w:r w:rsidR="00871971">
        <w:rPr>
          <w:rFonts w:eastAsia="SimSun" w:cs="Mangal"/>
          <w:lang w:eastAsia="zh-CN" w:bidi="hi-IN"/>
        </w:rPr>
        <w:t xml:space="preserve"> </w:t>
      </w:r>
      <w:r w:rsidR="00066EDD">
        <w:rPr>
          <w:rFonts w:eastAsia="SimSun" w:cs="Mangal"/>
          <w:lang w:eastAsia="zh-CN" w:bidi="hi-IN"/>
        </w:rPr>
        <w:t xml:space="preserve">x </w:t>
      </w:r>
      <w:r>
        <w:rPr>
          <w:rFonts w:eastAsia="SimSun" w:cs="Mangal"/>
          <w:lang w:eastAsia="zh-CN" w:bidi="hi-IN"/>
        </w:rPr>
        <w:t>durée d’utilisation dans le projet</w:t>
      </w:r>
      <w:r w:rsidR="00066EDD">
        <w:rPr>
          <w:rFonts w:eastAsia="SimSun" w:cs="Mangal"/>
          <w:lang w:eastAsia="zh-CN" w:bidi="hi-IN"/>
        </w:rPr>
        <w:t xml:space="preserve"> x </w:t>
      </w:r>
      <w:r>
        <w:rPr>
          <w:rFonts w:eastAsia="SimSun" w:cs="Mangal"/>
          <w:lang w:eastAsia="zh-CN" w:bidi="hi-IN"/>
        </w:rPr>
        <w:t>taux d’utilisation)</w:t>
      </w:r>
      <w:r>
        <w:rPr>
          <w:rFonts w:eastAsia="SimSun" w:cs="Mangal"/>
          <w:b/>
          <w:bCs/>
          <w:lang w:eastAsia="zh-CN" w:bidi="hi-IN"/>
        </w:rPr>
        <w:t>.</w:t>
      </w:r>
    </w:p>
    <w:p w14:paraId="73318366" w14:textId="375D5A8B" w:rsidR="00155CDD"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eastAsia="zh-CN" w:bidi="hi-IN"/>
        </w:rPr>
      </w:pPr>
      <w:r>
        <w:rPr>
          <w:rFonts w:eastAsia="SimSun" w:cs="Mangal"/>
          <w:b/>
          <w:bCs/>
          <w:lang w:eastAsia="zh-CN" w:bidi="hi-IN"/>
        </w:rPr>
        <w:t xml:space="preserve">Frais de sous-traitance : </w:t>
      </w:r>
      <w:r>
        <w:rPr>
          <w:rFonts w:eastAsia="SimSun" w:cs="Mangal"/>
          <w:lang w:eastAsia="zh-CN" w:bidi="hi-IN"/>
        </w:rPr>
        <w:t>l</w:t>
      </w:r>
      <w:r w:rsidR="009B4C46">
        <w:rPr>
          <w:rFonts w:eastAsia="SimSun" w:cs="Mangal"/>
          <w:lang w:eastAsia="zh-CN" w:bidi="hi-IN"/>
        </w:rPr>
        <w:t xml:space="preserve">’entreprise peut faire appel </w:t>
      </w:r>
      <w:r w:rsidR="00A93EF7">
        <w:rPr>
          <w:rFonts w:eastAsia="SimSun" w:cs="Mangal"/>
          <w:lang w:eastAsia="zh-CN" w:bidi="hi-IN"/>
        </w:rPr>
        <w:t xml:space="preserve">à un </w:t>
      </w:r>
      <w:r w:rsidR="001A4FDC">
        <w:rPr>
          <w:rFonts w:eastAsia="SimSun" w:cs="Mangal"/>
          <w:lang w:eastAsia="zh-CN" w:bidi="hi-IN"/>
        </w:rPr>
        <w:t xml:space="preserve">(ou plusieurs) </w:t>
      </w:r>
      <w:r w:rsidR="00A93EF7">
        <w:rPr>
          <w:rFonts w:eastAsia="SimSun" w:cs="Mangal"/>
          <w:lang w:eastAsia="zh-CN" w:bidi="hi-IN"/>
        </w:rPr>
        <w:t>sous-traitant</w:t>
      </w:r>
      <w:r w:rsidR="001A4FDC">
        <w:rPr>
          <w:rFonts w:eastAsia="SimSun" w:cs="Mangal"/>
          <w:lang w:eastAsia="zh-CN" w:bidi="hi-IN"/>
        </w:rPr>
        <w:t>(s)</w:t>
      </w:r>
      <w:r w:rsidR="00A93EF7">
        <w:rPr>
          <w:rFonts w:eastAsia="SimSun" w:cs="Mangal"/>
          <w:lang w:eastAsia="zh-CN" w:bidi="hi-IN"/>
        </w:rPr>
        <w:t xml:space="preserve"> pour l’accompagner dans son projet.</w:t>
      </w:r>
      <w:r>
        <w:rPr>
          <w:rFonts w:eastAsia="SimSun" w:cs="Mangal"/>
          <w:lang w:eastAsia="zh-CN" w:bidi="hi-IN"/>
        </w:rPr>
        <w:t xml:space="preserve"> </w:t>
      </w:r>
      <w:r w:rsidR="005319BE" w:rsidRPr="00386A33">
        <w:rPr>
          <w:rFonts w:eastAsia="SimSun" w:cs="Mangal"/>
          <w:lang w:eastAsia="zh-CN" w:bidi="hi-IN"/>
        </w:rPr>
        <w:t xml:space="preserve">La sous-traitance </w:t>
      </w:r>
      <w:r w:rsidR="005D7315" w:rsidRPr="00386A33">
        <w:rPr>
          <w:rFonts w:eastAsia="SimSun" w:cs="Mangal"/>
          <w:lang w:eastAsia="zh-CN" w:bidi="hi-IN"/>
        </w:rPr>
        <w:t xml:space="preserve">doit toutefois être </w:t>
      </w:r>
      <w:r w:rsidR="005D7315" w:rsidRPr="00386A33">
        <w:rPr>
          <w:rFonts w:eastAsia="SimSun" w:cs="Mangal"/>
          <w:b/>
          <w:bCs/>
          <w:lang w:eastAsia="zh-CN" w:bidi="hi-IN"/>
        </w:rPr>
        <w:t>limité</w:t>
      </w:r>
      <w:r w:rsidR="0005362F" w:rsidRPr="00386A33">
        <w:rPr>
          <w:rFonts w:eastAsia="SimSun" w:cs="Mangal"/>
          <w:b/>
          <w:bCs/>
          <w:lang w:eastAsia="zh-CN" w:bidi="hi-IN"/>
        </w:rPr>
        <w:t>e</w:t>
      </w:r>
      <w:r w:rsidR="005D7315" w:rsidRPr="00386A33">
        <w:rPr>
          <w:rFonts w:eastAsia="SimSun" w:cs="Mangal"/>
          <w:b/>
          <w:bCs/>
          <w:lang w:eastAsia="zh-CN" w:bidi="hi-IN"/>
        </w:rPr>
        <w:t xml:space="preserve"> à 2/3 du budget</w:t>
      </w:r>
      <w:r w:rsidR="005D7315" w:rsidRPr="00386A33">
        <w:rPr>
          <w:rFonts w:eastAsia="SimSun" w:cs="Mangal"/>
          <w:lang w:eastAsia="zh-CN" w:bidi="hi-IN"/>
        </w:rPr>
        <w:t xml:space="preserve"> </w:t>
      </w:r>
      <w:r w:rsidR="0005362F" w:rsidRPr="00386A33">
        <w:rPr>
          <w:rFonts w:eastAsia="SimSun" w:cs="Mangal"/>
          <w:lang w:eastAsia="zh-CN" w:bidi="hi-IN"/>
        </w:rPr>
        <w:t>et l’entreprise doit démontrer sa capacité à internaliser à terme les compétences</w:t>
      </w:r>
      <w:r w:rsidR="00310187" w:rsidRPr="00386A33">
        <w:rPr>
          <w:rFonts w:eastAsia="SimSun" w:cs="Mangal"/>
          <w:lang w:eastAsia="zh-CN" w:bidi="hi-IN"/>
        </w:rPr>
        <w:t xml:space="preserve"> faisant l’objet de la sous-traitance.</w:t>
      </w:r>
      <w:r w:rsidR="000D4D15">
        <w:rPr>
          <w:rFonts w:eastAsia="SimSun" w:cs="Mangal"/>
          <w:lang w:eastAsia="zh-CN" w:bidi="hi-IN"/>
        </w:rPr>
        <w:t xml:space="preserve"> Ces aspects de transfert d’expertise devront faire partie</w:t>
      </w:r>
      <w:r w:rsidR="00F5303A">
        <w:rPr>
          <w:rFonts w:eastAsia="SimSun" w:cs="Mangal"/>
          <w:lang w:eastAsia="zh-CN" w:bidi="hi-IN"/>
        </w:rPr>
        <w:t xml:space="preserve"> de l’offre de sous-traitance.</w:t>
      </w:r>
      <w:r w:rsidR="00310187">
        <w:rPr>
          <w:rFonts w:eastAsia="SimSun" w:cs="Mangal"/>
          <w:lang w:eastAsia="zh-CN" w:bidi="hi-IN"/>
        </w:rPr>
        <w:t xml:space="preserve"> Innoviris n’impose pas de restrictions quant au choix du</w:t>
      </w:r>
      <w:r w:rsidR="00AE4E39">
        <w:rPr>
          <w:rFonts w:eastAsia="SimSun" w:cs="Mangal"/>
          <w:lang w:eastAsia="zh-CN" w:bidi="hi-IN"/>
        </w:rPr>
        <w:t xml:space="preserve"> (des)</w:t>
      </w:r>
      <w:r w:rsidR="00310187">
        <w:rPr>
          <w:rFonts w:eastAsia="SimSun" w:cs="Mangal"/>
          <w:lang w:eastAsia="zh-CN" w:bidi="hi-IN"/>
        </w:rPr>
        <w:t xml:space="preserve"> </w:t>
      </w:r>
      <w:r w:rsidR="00E35439">
        <w:rPr>
          <w:rFonts w:eastAsia="SimSun" w:cs="Mangal"/>
          <w:lang w:eastAsia="zh-CN" w:bidi="hi-IN"/>
        </w:rPr>
        <w:t>sous-traitant</w:t>
      </w:r>
      <w:r w:rsidR="00AE4E39">
        <w:rPr>
          <w:rFonts w:eastAsia="SimSun" w:cs="Mangal"/>
          <w:lang w:eastAsia="zh-CN" w:bidi="hi-IN"/>
        </w:rPr>
        <w:t>s</w:t>
      </w:r>
      <w:r w:rsidR="00E35439">
        <w:rPr>
          <w:rFonts w:eastAsia="SimSun" w:cs="Mangal"/>
          <w:lang w:eastAsia="zh-CN" w:bidi="hi-IN"/>
        </w:rPr>
        <w:t xml:space="preserve">. </w:t>
      </w:r>
      <w:r w:rsidR="00E56D7C">
        <w:rPr>
          <w:rFonts w:eastAsia="SimSun" w:cs="Mangal"/>
          <w:lang w:eastAsia="zh-CN" w:bidi="hi-IN"/>
        </w:rPr>
        <w:t xml:space="preserve">L’entreprise à la recherche d’un prestataire peut toutefois </w:t>
      </w:r>
      <w:r w:rsidR="00E56D7C" w:rsidRPr="00FF3720">
        <w:rPr>
          <w:rFonts w:eastAsia="SimSun" w:cs="Mangal"/>
          <w:lang w:eastAsia="zh-CN" w:bidi="hi-IN"/>
        </w:rPr>
        <w:t xml:space="preserve">utilement </w:t>
      </w:r>
      <w:r w:rsidR="00C93214" w:rsidRPr="00FF3720">
        <w:rPr>
          <w:rFonts w:eastAsia="SimSun" w:cs="Mangal"/>
          <w:lang w:eastAsia="zh-CN" w:bidi="hi-IN"/>
        </w:rPr>
        <w:t>consult</w:t>
      </w:r>
      <w:r w:rsidR="00C93214">
        <w:rPr>
          <w:rFonts w:eastAsia="SimSun" w:cs="Mangal"/>
          <w:lang w:eastAsia="zh-CN" w:bidi="hi-IN"/>
        </w:rPr>
        <w:t>er</w:t>
      </w:r>
      <w:r w:rsidR="00C93214" w:rsidRPr="00FF3720">
        <w:rPr>
          <w:rFonts w:eastAsia="SimSun" w:cs="Mangal"/>
          <w:lang w:eastAsia="zh-CN" w:bidi="hi-IN"/>
        </w:rPr>
        <w:t xml:space="preserve"> </w:t>
      </w:r>
      <w:r w:rsidR="00E6054A" w:rsidRPr="00FF3720">
        <w:rPr>
          <w:rFonts w:eastAsia="SimSun" w:cs="Mangal"/>
          <w:lang w:eastAsia="zh-CN" w:bidi="hi-IN"/>
        </w:rPr>
        <w:t xml:space="preserve">la </w:t>
      </w:r>
      <w:hyperlink r:id="rId8" w:history="1">
        <w:r w:rsidR="00E6054A" w:rsidRPr="00FF3720">
          <w:rPr>
            <w:rStyle w:val="Lienhypertexte"/>
            <w:rFonts w:eastAsia="SimSun" w:cs="Mangal"/>
            <w:lang w:eastAsia="zh-CN" w:bidi="hi-IN"/>
          </w:rPr>
          <w:t>liste des entités agrées</w:t>
        </w:r>
      </w:hyperlink>
      <w:r w:rsidR="00E6054A" w:rsidRPr="00FF3720">
        <w:rPr>
          <w:rFonts w:eastAsia="SimSun" w:cs="Mangal"/>
          <w:lang w:eastAsia="zh-CN" w:bidi="hi-IN"/>
        </w:rPr>
        <w:t xml:space="preserve"> par Innoviris dans le cadre du programme STARTIA</w:t>
      </w:r>
      <w:r w:rsidR="00271CB3" w:rsidRPr="00FF3720">
        <w:rPr>
          <w:rFonts w:eastAsia="SimSun" w:cs="Mangal"/>
          <w:lang w:eastAsia="zh-CN" w:bidi="hi-IN"/>
        </w:rPr>
        <w:t>.</w:t>
      </w:r>
    </w:p>
    <w:p w14:paraId="60B67928" w14:textId="625BB5F8" w:rsidR="00155CDD" w:rsidRDefault="00155CDD" w:rsidP="008F205C">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rPr>
          <w:rFonts w:eastAsia="SimSun" w:cs="Mangal"/>
          <w:lang w:eastAsia="zh-CN" w:bidi="hi-IN"/>
        </w:rPr>
      </w:pPr>
      <w:r w:rsidRPr="00EB5CFE">
        <w:rPr>
          <w:rFonts w:eastAsia="SimSun" w:cs="Mangal"/>
          <w:b/>
          <w:bCs/>
          <w:lang w:eastAsia="zh-CN" w:bidi="hi-IN"/>
        </w:rPr>
        <w:t xml:space="preserve">Frais d’exploitation : </w:t>
      </w:r>
      <w:r w:rsidRPr="00EB5CFE">
        <w:rPr>
          <w:rFonts w:eastAsia="SimSun" w:cs="Mangal"/>
          <w:lang w:eastAsia="zh-CN" w:bidi="hi-IN"/>
        </w:rPr>
        <w:t xml:space="preserve">notamment les coûts </w:t>
      </w:r>
      <w:r w:rsidR="00EB5CFE" w:rsidRPr="00EB5CFE">
        <w:rPr>
          <w:rFonts w:eastAsia="SimSun" w:cs="Mangal"/>
          <w:lang w:eastAsia="zh-CN" w:bidi="hi-IN"/>
        </w:rPr>
        <w:t>liés au</w:t>
      </w:r>
      <w:r w:rsidR="00505576">
        <w:rPr>
          <w:rFonts w:eastAsia="SimSun" w:cs="Mangal"/>
          <w:lang w:eastAsia="zh-CN" w:bidi="hi-IN"/>
        </w:rPr>
        <w:t>x</w:t>
      </w:r>
      <w:r w:rsidR="00EB5CFE" w:rsidRPr="00EB5CFE">
        <w:rPr>
          <w:rFonts w:eastAsia="SimSun" w:cs="Mangal"/>
          <w:lang w:eastAsia="zh-CN" w:bidi="hi-IN"/>
        </w:rPr>
        <w:t xml:space="preserve"> licences et services cloud.</w:t>
      </w:r>
    </w:p>
    <w:p w14:paraId="39B9718B" w14:textId="77777777" w:rsidR="00386868" w:rsidRPr="00EB5CFE" w:rsidRDefault="00386868" w:rsidP="0038686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firstLine="0"/>
        <w:rPr>
          <w:rFonts w:eastAsia="SimSun" w:cs="Mangal"/>
          <w:lang w:eastAsia="zh-CN" w:bidi="hi-IN"/>
        </w:rPr>
      </w:pPr>
    </w:p>
    <w:p w14:paraId="5352E486" w14:textId="550B53F4" w:rsidR="00155CDD" w:rsidRDefault="00155CDD" w:rsidP="00155CDD">
      <w:pPr>
        <w:widowControl w:val="0"/>
        <w:spacing w:after="100" w:line="240" w:lineRule="auto"/>
        <w:rPr>
          <w:rFonts w:eastAsia="SimSun" w:cs="Mangal"/>
          <w:lang w:eastAsia="zh-CN" w:bidi="hi-IN"/>
        </w:rPr>
      </w:pPr>
      <w:r>
        <w:rPr>
          <w:rFonts w:eastAsia="SimSun" w:cs="Mangal"/>
          <w:lang w:eastAsia="zh-CN" w:bidi="hi-IN"/>
        </w:rPr>
        <w:t xml:space="preserve">Une description plus détaillée des frais éligibles est disponible dans les </w:t>
      </w:r>
      <w:hyperlink r:id="rId9" w:tooltip="https://innoviris.brussels/fr/documents/directives-comptables-generiques-2021" w:history="1">
        <w:r>
          <w:rPr>
            <w:rStyle w:val="Lienhypertexte"/>
            <w:rFonts w:eastAsia="SimSun" w:cs="Mangal"/>
            <w:lang w:eastAsia="zh-CN" w:bidi="hi-IN"/>
          </w:rPr>
          <w:t>directives comptables d’Innoviris</w:t>
        </w:r>
      </w:hyperlink>
      <w:r>
        <w:rPr>
          <w:rFonts w:eastAsia="SimSun" w:cs="Mangal"/>
          <w:lang w:eastAsia="zh-CN" w:bidi="hi-IN"/>
        </w:rPr>
        <w:t>.</w:t>
      </w:r>
    </w:p>
    <w:p w14:paraId="2E15BF39" w14:textId="77777777" w:rsidR="00155CDD" w:rsidRDefault="00155CDD" w:rsidP="00155CDD">
      <w:pPr>
        <w:widowControl w:val="0"/>
        <w:spacing w:after="100" w:line="240" w:lineRule="auto"/>
        <w:rPr>
          <w:rFonts w:eastAsia="SimSun" w:cs="Mangal"/>
          <w:lang w:eastAsia="zh-CN" w:bidi="hi-IN"/>
        </w:rPr>
      </w:pPr>
    </w:p>
    <w:tbl>
      <w:tblPr>
        <w:tblStyle w:val="Grilledutableau"/>
        <w:tblW w:w="0" w:type="auto"/>
        <w:tblLook w:val="04A0" w:firstRow="1" w:lastRow="0" w:firstColumn="1" w:lastColumn="0" w:noHBand="0" w:noVBand="1"/>
      </w:tblPr>
      <w:tblGrid>
        <w:gridCol w:w="9062"/>
      </w:tblGrid>
      <w:tr w:rsidR="00155CDD" w14:paraId="5BA7451C" w14:textId="77777777" w:rsidTr="001B103F">
        <w:tc>
          <w:tcPr>
            <w:tcW w:w="9062" w:type="dxa"/>
          </w:tcPr>
          <w:p w14:paraId="1355BFAE" w14:textId="77777777" w:rsidR="00155CDD" w:rsidRDefault="00155CDD" w:rsidP="001B103F">
            <w:pPr>
              <w:widowControl w:val="0"/>
              <w:spacing w:after="120"/>
              <w:rPr>
                <w:b/>
                <w:szCs w:val="20"/>
              </w:rPr>
            </w:pPr>
            <w:r>
              <w:rPr>
                <w:b/>
                <w:szCs w:val="20"/>
              </w:rPr>
              <w:t>Remarque – Disponibilité de fonds propres</w:t>
            </w:r>
          </w:p>
        </w:tc>
      </w:tr>
      <w:tr w:rsidR="00155CDD" w14:paraId="68D69C0B" w14:textId="77777777" w:rsidTr="001B103F">
        <w:tc>
          <w:tcPr>
            <w:tcW w:w="9062" w:type="dxa"/>
          </w:tcPr>
          <w:p w14:paraId="3B132747" w14:textId="77777777" w:rsidR="00155CDD" w:rsidRDefault="00155CDD" w:rsidP="001B103F">
            <w:pPr>
              <w:widowControl w:val="0"/>
              <w:spacing w:after="120"/>
              <w:rPr>
                <w:bCs/>
                <w:szCs w:val="20"/>
              </w:rPr>
            </w:pPr>
            <w:r>
              <w:rPr>
                <w:bCs/>
                <w:szCs w:val="20"/>
              </w:rPr>
              <w:t xml:space="preserve">En plus d’être capable d’assurer sa quote-part dans le cadre du projet, il est important de noter que toute organisation candidate doit être financièrement prête à avancer les frais nécessaires à la réalisation du projet étant donné d’une part qu’il est possible qu’il y ait un décalage entre la date de début du projet et la réception de la première tranche de subside, et d’autre part que le paiement d’une partie du subside est toujours réalisé a posteriori de la fin du projet. </w:t>
            </w:r>
          </w:p>
        </w:tc>
      </w:tr>
    </w:tbl>
    <w:p w14:paraId="205291D0" w14:textId="77777777" w:rsidR="00155CDD" w:rsidRDefault="00155CDD" w:rsidP="001218EA">
      <w:pPr>
        <w:spacing w:after="55" w:line="259" w:lineRule="auto"/>
        <w:ind w:left="0" w:firstLine="0"/>
      </w:pPr>
    </w:p>
    <w:p w14:paraId="64E52D59" w14:textId="77777777" w:rsidR="00155CDD" w:rsidRDefault="00155CDD" w:rsidP="001218EA">
      <w:pPr>
        <w:spacing w:after="55" w:line="259" w:lineRule="auto"/>
        <w:ind w:left="0" w:firstLine="0"/>
      </w:pPr>
    </w:p>
    <w:p w14:paraId="02B6E4C6" w14:textId="77777777" w:rsidR="00155CDD" w:rsidRDefault="00155CDD" w:rsidP="001218EA">
      <w:pPr>
        <w:spacing w:after="55" w:line="259" w:lineRule="auto"/>
        <w:ind w:left="0" w:firstLine="0"/>
      </w:pPr>
    </w:p>
    <w:p w14:paraId="055100E2" w14:textId="77777777" w:rsidR="00B2163F" w:rsidRDefault="00B2163F" w:rsidP="0026137F">
      <w:pPr>
        <w:pStyle w:val="Titre1"/>
        <w:ind w:left="-5"/>
      </w:pPr>
    </w:p>
    <w:p w14:paraId="741E6090" w14:textId="08858521" w:rsidR="0026137F" w:rsidRDefault="000C2EA4" w:rsidP="0026137F">
      <w:pPr>
        <w:pStyle w:val="Titre1"/>
        <w:ind w:left="-5"/>
      </w:pPr>
      <w:r>
        <w:t>Calendrier</w:t>
      </w:r>
    </w:p>
    <w:p w14:paraId="4C6B6BD3" w14:textId="77777777" w:rsidR="0026137F" w:rsidRDefault="0026137F" w:rsidP="0026137F">
      <w:pPr>
        <w:spacing w:after="55" w:line="259" w:lineRule="auto"/>
        <w:ind w:left="0" w:firstLine="0"/>
        <w:jc w:val="left"/>
        <w:rPr>
          <w:b/>
        </w:rPr>
      </w:pPr>
      <w:r>
        <w:rPr>
          <w:b/>
        </w:rPr>
        <w:t xml:space="preserve"> </w:t>
      </w:r>
    </w:p>
    <w:p w14:paraId="57F3047A" w14:textId="3237CFBA" w:rsidR="00A71BEC" w:rsidRDefault="00DE46A9" w:rsidP="0026137F">
      <w:pPr>
        <w:spacing w:after="55" w:line="259" w:lineRule="auto"/>
        <w:ind w:left="0" w:firstLine="0"/>
        <w:rPr>
          <w:szCs w:val="20"/>
        </w:rPr>
      </w:pPr>
      <w:r>
        <w:rPr>
          <w:szCs w:val="20"/>
        </w:rPr>
        <w:t>Le présent appel à projet est double</w:t>
      </w:r>
      <w:r w:rsidR="00FA6437">
        <w:rPr>
          <w:szCs w:val="20"/>
        </w:rPr>
        <w:t xml:space="preserve"> : deux dates de soumissions </w:t>
      </w:r>
      <w:r w:rsidR="00763683">
        <w:rPr>
          <w:szCs w:val="20"/>
        </w:rPr>
        <w:t xml:space="preserve">(cut-off dates) </w:t>
      </w:r>
      <w:r w:rsidR="00FA6437">
        <w:rPr>
          <w:szCs w:val="20"/>
        </w:rPr>
        <w:t xml:space="preserve">sont </w:t>
      </w:r>
      <w:r w:rsidR="00A71BEC">
        <w:rPr>
          <w:szCs w:val="20"/>
        </w:rPr>
        <w:t xml:space="preserve">en effet </w:t>
      </w:r>
      <w:r w:rsidR="00763683">
        <w:rPr>
          <w:szCs w:val="20"/>
        </w:rPr>
        <w:t>propos</w:t>
      </w:r>
      <w:r w:rsidR="000C12B0">
        <w:rPr>
          <w:szCs w:val="20"/>
        </w:rPr>
        <w:t>ées en 2025 aux entreprises bruxelloises</w:t>
      </w:r>
      <w:r w:rsidR="00F435AF">
        <w:rPr>
          <w:szCs w:val="20"/>
        </w:rPr>
        <w:t> :</w:t>
      </w:r>
    </w:p>
    <w:p w14:paraId="15110031" w14:textId="77777777" w:rsidR="00F435AF" w:rsidRDefault="00F435AF" w:rsidP="0026137F">
      <w:pPr>
        <w:spacing w:after="55" w:line="259" w:lineRule="auto"/>
        <w:ind w:left="0" w:firstLine="0"/>
        <w:rPr>
          <w:szCs w:val="20"/>
        </w:rPr>
      </w:pPr>
    </w:p>
    <w:tbl>
      <w:tblPr>
        <w:tblStyle w:val="Grilledutableau"/>
        <w:tblW w:w="0" w:type="auto"/>
        <w:jc w:val="center"/>
        <w:tblLook w:val="04A0" w:firstRow="1" w:lastRow="0" w:firstColumn="1" w:lastColumn="0" w:noHBand="0" w:noVBand="1"/>
      </w:tblPr>
      <w:tblGrid>
        <w:gridCol w:w="2263"/>
        <w:gridCol w:w="2410"/>
      </w:tblGrid>
      <w:tr w:rsidR="00F435AF" w14:paraId="11DACB71" w14:textId="77777777" w:rsidTr="001B103F">
        <w:trPr>
          <w:jc w:val="center"/>
        </w:trPr>
        <w:tc>
          <w:tcPr>
            <w:tcW w:w="2263" w:type="dxa"/>
          </w:tcPr>
          <w:p w14:paraId="5C69B1F8" w14:textId="6E712F9D" w:rsidR="00F435AF" w:rsidRPr="00221A23" w:rsidRDefault="00F435AF" w:rsidP="001B103F">
            <w:pPr>
              <w:rPr>
                <w:szCs w:val="20"/>
              </w:rPr>
            </w:pPr>
            <w:r w:rsidRPr="00221A23">
              <w:rPr>
                <w:szCs w:val="20"/>
              </w:rPr>
              <w:t>Cut</w:t>
            </w:r>
            <w:r w:rsidR="00744D06" w:rsidRPr="00221A23">
              <w:rPr>
                <w:szCs w:val="20"/>
              </w:rPr>
              <w:t>-</w:t>
            </w:r>
            <w:r w:rsidR="0026647B">
              <w:rPr>
                <w:szCs w:val="20"/>
              </w:rPr>
              <w:t>O</w:t>
            </w:r>
            <w:r w:rsidRPr="00221A23">
              <w:rPr>
                <w:szCs w:val="20"/>
              </w:rPr>
              <w:t>ff #1</w:t>
            </w:r>
          </w:p>
        </w:tc>
        <w:tc>
          <w:tcPr>
            <w:tcW w:w="2410" w:type="dxa"/>
          </w:tcPr>
          <w:p w14:paraId="5DDD678F" w14:textId="5A6BD98D" w:rsidR="00F435AF" w:rsidRPr="00221A23" w:rsidRDefault="00A5199B" w:rsidP="001B103F">
            <w:pPr>
              <w:rPr>
                <w:szCs w:val="20"/>
              </w:rPr>
            </w:pPr>
            <w:r>
              <w:rPr>
                <w:szCs w:val="20"/>
              </w:rPr>
              <w:t>20</w:t>
            </w:r>
            <w:r w:rsidR="00A55068" w:rsidRPr="00221A23">
              <w:rPr>
                <w:szCs w:val="20"/>
              </w:rPr>
              <w:t xml:space="preserve"> </w:t>
            </w:r>
            <w:r w:rsidR="00843732">
              <w:rPr>
                <w:szCs w:val="20"/>
              </w:rPr>
              <w:t>mars</w:t>
            </w:r>
            <w:r w:rsidR="00A55068" w:rsidRPr="00221A23">
              <w:rPr>
                <w:szCs w:val="20"/>
              </w:rPr>
              <w:t xml:space="preserve"> 2025</w:t>
            </w:r>
            <w:r w:rsidR="00354958" w:rsidRPr="00221A23">
              <w:rPr>
                <w:szCs w:val="20"/>
              </w:rPr>
              <w:t>, 14h00</w:t>
            </w:r>
          </w:p>
        </w:tc>
      </w:tr>
      <w:tr w:rsidR="00F435AF" w14:paraId="1CB19C42" w14:textId="77777777" w:rsidTr="001B103F">
        <w:trPr>
          <w:jc w:val="center"/>
        </w:trPr>
        <w:tc>
          <w:tcPr>
            <w:tcW w:w="2263" w:type="dxa"/>
          </w:tcPr>
          <w:p w14:paraId="11BB7682" w14:textId="39D954A3" w:rsidR="00F435AF" w:rsidRPr="00221A23" w:rsidRDefault="00F435AF" w:rsidP="001B103F">
            <w:pPr>
              <w:rPr>
                <w:szCs w:val="20"/>
              </w:rPr>
            </w:pPr>
            <w:r w:rsidRPr="00221A23">
              <w:rPr>
                <w:szCs w:val="20"/>
              </w:rPr>
              <w:t>Cut</w:t>
            </w:r>
            <w:r w:rsidR="00744D06" w:rsidRPr="00221A23">
              <w:rPr>
                <w:szCs w:val="20"/>
              </w:rPr>
              <w:t>-</w:t>
            </w:r>
            <w:r w:rsidR="0026647B">
              <w:rPr>
                <w:szCs w:val="20"/>
              </w:rPr>
              <w:t>O</w:t>
            </w:r>
            <w:r w:rsidRPr="00221A23">
              <w:rPr>
                <w:szCs w:val="20"/>
              </w:rPr>
              <w:t>ff #2</w:t>
            </w:r>
          </w:p>
        </w:tc>
        <w:tc>
          <w:tcPr>
            <w:tcW w:w="2410" w:type="dxa"/>
          </w:tcPr>
          <w:p w14:paraId="5FBE2581" w14:textId="46B03A5F" w:rsidR="00F435AF" w:rsidRPr="00221A23" w:rsidRDefault="00AC6D7F" w:rsidP="001B103F">
            <w:pPr>
              <w:rPr>
                <w:szCs w:val="20"/>
              </w:rPr>
            </w:pPr>
            <w:r>
              <w:rPr>
                <w:szCs w:val="20"/>
              </w:rPr>
              <w:t>13 juin</w:t>
            </w:r>
            <w:r w:rsidR="00F129D1" w:rsidRPr="00221A23">
              <w:rPr>
                <w:szCs w:val="20"/>
              </w:rPr>
              <w:t xml:space="preserve"> 2025</w:t>
            </w:r>
            <w:r w:rsidR="00354958" w:rsidRPr="00221A23">
              <w:rPr>
                <w:szCs w:val="20"/>
              </w:rPr>
              <w:t>, 14h00</w:t>
            </w:r>
          </w:p>
        </w:tc>
      </w:tr>
    </w:tbl>
    <w:p w14:paraId="05A4AE94" w14:textId="77777777" w:rsidR="00F435AF" w:rsidRDefault="00F435AF" w:rsidP="0026137F">
      <w:pPr>
        <w:spacing w:after="55" w:line="259" w:lineRule="auto"/>
        <w:ind w:left="0" w:firstLine="0"/>
        <w:rPr>
          <w:szCs w:val="20"/>
        </w:rPr>
      </w:pPr>
    </w:p>
    <w:p w14:paraId="6BF31968" w14:textId="111E075F" w:rsidR="0006586F" w:rsidRPr="00035EE3" w:rsidRDefault="0006586F" w:rsidP="0026137F">
      <w:pPr>
        <w:spacing w:after="55" w:line="259" w:lineRule="auto"/>
        <w:ind w:left="0" w:firstLine="0"/>
        <w:rPr>
          <w:szCs w:val="20"/>
        </w:rPr>
      </w:pPr>
      <w:r w:rsidRPr="00035EE3">
        <w:rPr>
          <w:szCs w:val="20"/>
        </w:rPr>
        <w:t>Chaque cut-off</w:t>
      </w:r>
      <w:r w:rsidR="00035EE3" w:rsidRPr="00035EE3">
        <w:rPr>
          <w:szCs w:val="20"/>
        </w:rPr>
        <w:t xml:space="preserve"> sera associé</w:t>
      </w:r>
      <w:r w:rsidR="00035EE3">
        <w:rPr>
          <w:szCs w:val="20"/>
        </w:rPr>
        <w:t xml:space="preserve"> à une enveloppe fermée </w:t>
      </w:r>
      <w:r w:rsidR="007E1AF4">
        <w:rPr>
          <w:szCs w:val="20"/>
        </w:rPr>
        <w:t xml:space="preserve">(300k€) </w:t>
      </w:r>
      <w:r w:rsidR="00035EE3">
        <w:rPr>
          <w:szCs w:val="20"/>
        </w:rPr>
        <w:t>dont les montants sont</w:t>
      </w:r>
      <w:r w:rsidR="000610D3">
        <w:rPr>
          <w:szCs w:val="20"/>
        </w:rPr>
        <w:t xml:space="preserve"> soumis à l’accord budgétaire du (futur) gouvernement de la Région Bruxelles-Capitale.</w:t>
      </w:r>
    </w:p>
    <w:p w14:paraId="56D5A699" w14:textId="40164428" w:rsidR="00DF1468" w:rsidRDefault="00CF1363" w:rsidP="0026137F">
      <w:pPr>
        <w:spacing w:after="55" w:line="259" w:lineRule="auto"/>
        <w:ind w:left="0" w:firstLine="0"/>
        <w:rPr>
          <w:szCs w:val="20"/>
        </w:rPr>
      </w:pPr>
      <w:r>
        <w:rPr>
          <w:szCs w:val="20"/>
        </w:rPr>
        <w:t>Le deuxième cut-off</w:t>
      </w:r>
      <w:r w:rsidR="00B31346">
        <w:rPr>
          <w:szCs w:val="20"/>
        </w:rPr>
        <w:t xml:space="preserve"> est destiné aux entreprises</w:t>
      </w:r>
      <w:r w:rsidR="003A4E2D">
        <w:rPr>
          <w:szCs w:val="20"/>
        </w:rPr>
        <w:t xml:space="preserve"> se situant trop en amont de leur parcours d’innovation</w:t>
      </w:r>
      <w:r w:rsidR="00DF1468">
        <w:rPr>
          <w:szCs w:val="20"/>
        </w:rPr>
        <w:t xml:space="preserve"> IA</w:t>
      </w:r>
      <w:r w:rsidR="00762653">
        <w:rPr>
          <w:szCs w:val="20"/>
        </w:rPr>
        <w:t xml:space="preserve"> </w:t>
      </w:r>
      <w:r w:rsidR="00784FB2">
        <w:rPr>
          <w:szCs w:val="20"/>
        </w:rPr>
        <w:t xml:space="preserve">et nécessitant un travail d’analyse préliminaire (voir section </w:t>
      </w:r>
      <w:r w:rsidR="004A64E4">
        <w:rPr>
          <w:szCs w:val="20"/>
        </w:rPr>
        <w:fldChar w:fldCharType="begin"/>
      </w:r>
      <w:r w:rsidR="004A64E4">
        <w:rPr>
          <w:szCs w:val="20"/>
        </w:rPr>
        <w:instrText xml:space="preserve"> REF _Ref180578260 \h </w:instrText>
      </w:r>
      <w:r w:rsidR="004A64E4">
        <w:rPr>
          <w:szCs w:val="20"/>
        </w:rPr>
      </w:r>
      <w:r w:rsidR="004A64E4">
        <w:rPr>
          <w:szCs w:val="20"/>
        </w:rPr>
        <w:fldChar w:fldCharType="separate"/>
      </w:r>
      <w:r w:rsidR="004A64E4">
        <w:t>Accompagnement</w:t>
      </w:r>
      <w:r w:rsidR="004A64E4">
        <w:rPr>
          <w:szCs w:val="20"/>
        </w:rPr>
        <w:fldChar w:fldCharType="end"/>
      </w:r>
      <w:r w:rsidR="00784FB2">
        <w:rPr>
          <w:szCs w:val="20"/>
        </w:rPr>
        <w:t>).</w:t>
      </w:r>
      <w:r w:rsidR="00DF1468">
        <w:rPr>
          <w:szCs w:val="20"/>
        </w:rPr>
        <w:t xml:space="preserve"> Les projets </w:t>
      </w:r>
      <w:r w:rsidR="0006586F">
        <w:rPr>
          <w:szCs w:val="20"/>
        </w:rPr>
        <w:t xml:space="preserve">non retenus </w:t>
      </w:r>
      <w:r w:rsidR="0001365E">
        <w:rPr>
          <w:szCs w:val="20"/>
        </w:rPr>
        <w:t>lors du premier cut-off peuvent soumettre</w:t>
      </w:r>
      <w:r w:rsidR="002B3A3A">
        <w:rPr>
          <w:szCs w:val="20"/>
        </w:rPr>
        <w:t xml:space="preserve"> </w:t>
      </w:r>
      <w:r w:rsidR="006B5DE9">
        <w:rPr>
          <w:szCs w:val="20"/>
        </w:rPr>
        <w:t>un</w:t>
      </w:r>
      <w:r w:rsidR="0001365E">
        <w:rPr>
          <w:szCs w:val="20"/>
        </w:rPr>
        <w:t xml:space="preserve"> dossier</w:t>
      </w:r>
      <w:r w:rsidR="006B5DE9">
        <w:rPr>
          <w:szCs w:val="20"/>
        </w:rPr>
        <w:t xml:space="preserve"> révisé</w:t>
      </w:r>
      <w:r w:rsidR="0001365E">
        <w:rPr>
          <w:szCs w:val="20"/>
        </w:rPr>
        <w:t xml:space="preserve"> au deuxième cut-off.</w:t>
      </w:r>
    </w:p>
    <w:p w14:paraId="2BB3C4FF" w14:textId="77777777" w:rsidR="0081622C" w:rsidRDefault="0081622C" w:rsidP="0026137F">
      <w:pPr>
        <w:spacing w:after="55" w:line="259" w:lineRule="auto"/>
        <w:ind w:left="0" w:firstLine="0"/>
        <w:rPr>
          <w:szCs w:val="20"/>
        </w:rPr>
      </w:pPr>
    </w:p>
    <w:p w14:paraId="2A992D1A" w14:textId="3FD952A5" w:rsidR="0081622C" w:rsidRPr="004D5768" w:rsidRDefault="00AA2258" w:rsidP="0081622C">
      <w:pPr>
        <w:spacing w:after="55" w:line="259" w:lineRule="auto"/>
        <w:ind w:left="0" w:firstLine="0"/>
        <w:rPr>
          <w:szCs w:val="20"/>
        </w:rPr>
      </w:pPr>
      <w:r>
        <w:t>En</w:t>
      </w:r>
      <w:r w:rsidR="0081622C">
        <w:t xml:space="preserve"> cas de succès, Innoviris prévoit de renouveler l’appel à projets en 2026.</w:t>
      </w:r>
    </w:p>
    <w:p w14:paraId="17625209" w14:textId="77777777" w:rsidR="001E51A6" w:rsidRDefault="001E51A6" w:rsidP="0026137F">
      <w:pPr>
        <w:spacing w:after="55" w:line="259" w:lineRule="auto"/>
        <w:ind w:left="0" w:firstLine="0"/>
        <w:rPr>
          <w:szCs w:val="20"/>
        </w:rPr>
      </w:pPr>
    </w:p>
    <w:p w14:paraId="1EA42666" w14:textId="0DE9A253" w:rsidR="001E51A6" w:rsidRPr="003D7E1F" w:rsidRDefault="00354958" w:rsidP="003D7E1F">
      <w:pPr>
        <w:spacing w:after="55" w:line="259" w:lineRule="auto"/>
        <w:ind w:left="0" w:firstLine="0"/>
      </w:pPr>
      <w:r>
        <w:rPr>
          <w:szCs w:val="20"/>
        </w:rPr>
        <w:t>En</w:t>
      </w:r>
      <w:r w:rsidR="00C54499">
        <w:rPr>
          <w:szCs w:val="20"/>
        </w:rPr>
        <w:t xml:space="preserve">fin, le </w:t>
      </w:r>
      <w:r w:rsidR="008A5624">
        <w:rPr>
          <w:szCs w:val="20"/>
        </w:rPr>
        <w:t>formulaire complété accompagné de ses annexes s</w:t>
      </w:r>
      <w:r w:rsidR="00C54499">
        <w:rPr>
          <w:szCs w:val="20"/>
        </w:rPr>
        <w:t>ont à envoyer</w:t>
      </w:r>
      <w:r w:rsidR="003D7E1F">
        <w:rPr>
          <w:szCs w:val="20"/>
        </w:rPr>
        <w:t xml:space="preserve"> sous forme électronique à </w:t>
      </w:r>
      <w:hyperlink r:id="rId10" w:history="1">
        <w:r w:rsidR="001E51A6" w:rsidRPr="003D7E1F">
          <w:rPr>
            <w:rStyle w:val="Lienhypertexte"/>
          </w:rPr>
          <w:t>funding-request@innoviris.brussels</w:t>
        </w:r>
      </w:hyperlink>
      <w:r w:rsidR="001E51A6" w:rsidRPr="003D7E1F">
        <w:t xml:space="preserve"> </w:t>
      </w:r>
      <w:r w:rsidR="003D7E1F" w:rsidRPr="003D7E1F">
        <w:t>&amp;</w:t>
      </w:r>
      <w:r w:rsidR="001E51A6" w:rsidRPr="003D7E1F">
        <w:t xml:space="preserve"> </w:t>
      </w:r>
      <w:hyperlink r:id="rId11" w:history="1">
        <w:r w:rsidR="001E51A6" w:rsidRPr="003D7E1F">
          <w:rPr>
            <w:rStyle w:val="Lienhypertexte"/>
          </w:rPr>
          <w:t>jduplicy@innoviris.brussels</w:t>
        </w:r>
      </w:hyperlink>
      <w:r w:rsidR="003D7E1F">
        <w:t>.</w:t>
      </w:r>
    </w:p>
    <w:p w14:paraId="2504B7DB" w14:textId="77777777" w:rsidR="001E51A6" w:rsidRPr="003D7E1F" w:rsidRDefault="001E51A6" w:rsidP="0026137F">
      <w:pPr>
        <w:spacing w:after="55" w:line="259" w:lineRule="auto"/>
        <w:ind w:left="0" w:firstLine="0"/>
        <w:rPr>
          <w:szCs w:val="20"/>
        </w:rPr>
      </w:pPr>
    </w:p>
    <w:p w14:paraId="0BDD7911" w14:textId="77777777" w:rsidR="00966E53" w:rsidRDefault="00966E53" w:rsidP="0026137F">
      <w:pPr>
        <w:spacing w:after="55" w:line="259" w:lineRule="auto"/>
        <w:ind w:left="0" w:firstLine="0"/>
        <w:rPr>
          <w:szCs w:val="20"/>
        </w:rPr>
      </w:pPr>
    </w:p>
    <w:p w14:paraId="59DFDE78" w14:textId="77777777" w:rsidR="00274E2A" w:rsidRPr="004D5768" w:rsidRDefault="00274E2A" w:rsidP="0026137F">
      <w:pPr>
        <w:spacing w:after="55" w:line="259" w:lineRule="auto"/>
        <w:ind w:left="0" w:firstLine="0"/>
        <w:rPr>
          <w:szCs w:val="20"/>
        </w:rPr>
      </w:pPr>
    </w:p>
    <w:p w14:paraId="378BD5B2" w14:textId="77777777" w:rsidR="00E20EEF" w:rsidRPr="008F3DE3" w:rsidRDefault="00E20EEF" w:rsidP="00E20EEF">
      <w:pPr>
        <w:widowControl w:val="0"/>
        <w:spacing w:before="68" w:after="62" w:line="227" w:lineRule="atLeast"/>
        <w:rPr>
          <w:rFonts w:eastAsia="TimesNewRomanPSMT" w:cs="Gotham XNarrow Medium"/>
          <w:b/>
          <w:color w:val="004586"/>
          <w:sz w:val="28"/>
          <w:szCs w:val="28"/>
          <w:lang w:eastAsia="zh-CN" w:bidi="hi-IN"/>
        </w:rPr>
      </w:pPr>
      <w:r w:rsidRPr="008F3DE3">
        <w:rPr>
          <w:rFonts w:eastAsia="TimesNewRomanPSMT" w:cs="Gotham XNarrow Medium"/>
          <w:b/>
          <w:color w:val="004586"/>
          <w:sz w:val="28"/>
          <w:szCs w:val="28"/>
          <w:lang w:eastAsia="zh-CN" w:bidi="hi-IN"/>
        </w:rPr>
        <w:t>Critères d’éligibilité</w:t>
      </w:r>
    </w:p>
    <w:p w14:paraId="0A91E017" w14:textId="77777777" w:rsidR="00E20EEF" w:rsidRDefault="00E20EEF" w:rsidP="00E20EEF">
      <w:pPr>
        <w:widowControl w:val="0"/>
        <w:spacing w:before="68" w:after="62" w:line="227" w:lineRule="atLeast"/>
        <w:rPr>
          <w:rFonts w:eastAsia="MS Mincho" w:cs="Gotham XNarrow Medium"/>
          <w:b/>
          <w:szCs w:val="20"/>
          <w:u w:val="single"/>
          <w:lang w:eastAsia="zh-CN" w:bidi="hi-IN"/>
        </w:rPr>
      </w:pPr>
      <w:bookmarkStart w:id="0" w:name="__RefHeading__22541_1180260950"/>
      <w:bookmarkEnd w:id="0"/>
    </w:p>
    <w:p w14:paraId="194E7E57" w14:textId="4CB70A3C" w:rsidR="00E20EEF" w:rsidRDefault="00E20EEF" w:rsidP="00E20EEF">
      <w:pPr>
        <w:widowControl w:val="0"/>
        <w:spacing w:after="120" w:line="240" w:lineRule="auto"/>
        <w:rPr>
          <w:rFonts w:eastAsia="SimSun"/>
          <w:szCs w:val="20"/>
          <w:lang w:eastAsia="zh-CN" w:bidi="hi-IN"/>
        </w:rPr>
      </w:pPr>
      <w:r>
        <w:rPr>
          <w:rFonts w:eastAsia="SimSun"/>
          <w:szCs w:val="20"/>
          <w:lang w:eastAsia="zh-CN" w:bidi="hi-IN"/>
        </w:rPr>
        <w:t>Afin de pouvoir bénéficier de l’intervention financière de la Région de Bruxelles-Capitale dans le cadre de ce programme, chaque candidat doit :</w:t>
      </w:r>
    </w:p>
    <w:p w14:paraId="73519AFB" w14:textId="1BA51C0E"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bookmarkStart w:id="1" w:name="__RefHeading__22543_1180260950"/>
      <w:bookmarkEnd w:id="1"/>
      <w:r>
        <w:rPr>
          <w:rFonts w:eastAsia="SimSun"/>
          <w:b/>
          <w:bCs/>
          <w:szCs w:val="20"/>
          <w:lang w:eastAsia="zh-CN" w:bidi="hi-IN"/>
        </w:rPr>
        <w:t>Être une entreprise</w:t>
      </w:r>
      <w:r>
        <w:rPr>
          <w:rFonts w:eastAsia="SimSun"/>
          <w:szCs w:val="20"/>
          <w:lang w:eastAsia="zh-CN" w:bidi="hi-IN"/>
        </w:rPr>
        <w:t xml:space="preserve"> : toute entreprise dotée d’une personnalité juridique de toute forme à la date de clôture de l’appel est éligible</w:t>
      </w:r>
      <w:r w:rsidR="00454F36">
        <w:rPr>
          <w:rFonts w:eastAsia="SimSun"/>
          <w:szCs w:val="20"/>
          <w:lang w:eastAsia="zh-CN" w:bidi="hi-IN"/>
        </w:rPr>
        <w:t> ;</w:t>
      </w:r>
    </w:p>
    <w:p w14:paraId="1CB3850C" w14:textId="743A982A"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t>Avoir au moins un siège d’exploitation en RBC</w:t>
      </w:r>
      <w:r w:rsidR="00454F36">
        <w:rPr>
          <w:rFonts w:eastAsia="SimSun"/>
          <w:szCs w:val="20"/>
          <w:lang w:eastAsia="zh-CN" w:bidi="hi-IN"/>
        </w:rPr>
        <w:t> ;</w:t>
      </w:r>
    </w:p>
    <w:p w14:paraId="2E03EC8F" w14:textId="3D2268EC"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t>Ne pas être en difficulté financière</w:t>
      </w:r>
      <w:r>
        <w:rPr>
          <w:rFonts w:eastAsia="SimSun"/>
          <w:szCs w:val="20"/>
          <w:lang w:eastAsia="zh-CN" w:bidi="hi-IN"/>
        </w:rPr>
        <w:t xml:space="preserve"> : voir point 20</w:t>
      </w:r>
      <w:r w:rsidR="006922D7">
        <w:rPr>
          <w:rStyle w:val="Appelnotedebasdep"/>
          <w:rFonts w:eastAsia="SimSun"/>
          <w:szCs w:val="20"/>
          <w:lang w:eastAsia="zh-CN" w:bidi="hi-IN"/>
        </w:rPr>
        <w:footnoteReference w:id="2"/>
      </w:r>
      <w:r>
        <w:rPr>
          <w:rFonts w:eastAsia="SimSun"/>
          <w:szCs w:val="20"/>
          <w:lang w:eastAsia="zh-CN" w:bidi="hi-IN"/>
        </w:rPr>
        <w:t xml:space="preserve"> des Lignes directrices concernant les aides d’État au sauvetage et à la restructuration d’entreprises en difficulté autres que les établissements financiers</w:t>
      </w:r>
      <w:r w:rsidR="00130F26">
        <w:rPr>
          <w:rFonts w:eastAsia="SimSun"/>
          <w:szCs w:val="20"/>
          <w:lang w:eastAsia="zh-CN" w:bidi="hi-IN"/>
        </w:rPr>
        <w:t xml:space="preserve"> (</w:t>
      </w:r>
      <w:r w:rsidR="00130F26" w:rsidRPr="00130F26">
        <w:rPr>
          <w:rFonts w:eastAsia="SimSun"/>
          <w:szCs w:val="20"/>
          <w:lang w:eastAsia="zh-CN" w:bidi="hi-IN"/>
        </w:rPr>
        <w:t>2014/C 249/01)</w:t>
      </w:r>
      <w:r>
        <w:rPr>
          <w:rFonts w:eastAsia="SimSun"/>
          <w:szCs w:val="20"/>
          <w:lang w:eastAsia="zh-CN" w:bidi="hi-IN"/>
        </w:rPr>
        <w:t xml:space="preserve">. Cet aspect ne concerne que les entreprises qui </w:t>
      </w:r>
      <w:r>
        <w:rPr>
          <w:rFonts w:eastAsia="SimSun"/>
          <w:szCs w:val="20"/>
          <w:lang w:eastAsia="zh-CN" w:bidi="hi-IN"/>
        </w:rPr>
        <w:lastRenderedPageBreak/>
        <w:t>existent depuis plus de trois ans</w:t>
      </w:r>
      <w:r w:rsidR="00FD0179">
        <w:rPr>
          <w:rFonts w:eastAsia="SimSun"/>
          <w:szCs w:val="20"/>
          <w:lang w:eastAsia="zh-CN" w:bidi="hi-IN"/>
        </w:rPr>
        <w:t> ;</w:t>
      </w:r>
    </w:p>
    <w:p w14:paraId="67970390" w14:textId="1C66F7DB"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t>Proposer un projet qui corresponde au périmètre de l’action</w:t>
      </w:r>
      <w:r>
        <w:rPr>
          <w:rFonts w:eastAsia="SimSun"/>
          <w:szCs w:val="20"/>
          <w:lang w:eastAsia="zh-CN" w:bidi="hi-IN"/>
        </w:rPr>
        <w:t xml:space="preserve"> : le projet doit répondre aux objectifs du programme</w:t>
      </w:r>
      <w:r w:rsidR="00FD0179">
        <w:rPr>
          <w:rFonts w:eastAsia="SimSun"/>
          <w:szCs w:val="20"/>
          <w:lang w:eastAsia="zh-CN" w:bidi="hi-IN"/>
        </w:rPr>
        <w:t> ;</w:t>
      </w:r>
    </w:p>
    <w:p w14:paraId="27708E72" w14:textId="7DD27B92"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t>Avoir rempli le cas échéant ses obligations envers la Région dans le cadre d’aides antérieures</w:t>
      </w:r>
      <w:r w:rsidR="00FD0179">
        <w:rPr>
          <w:rFonts w:eastAsia="SimSun"/>
          <w:szCs w:val="20"/>
          <w:lang w:eastAsia="zh-CN" w:bidi="hi-IN"/>
        </w:rPr>
        <w:t> ;</w:t>
      </w:r>
    </w:p>
    <w:p w14:paraId="24156ACE" w14:textId="57D678F9"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t>Démontrer l’effet incitatif de l’aide</w:t>
      </w:r>
      <w:r>
        <w:rPr>
          <w:rFonts w:eastAsia="SimSun"/>
          <w:szCs w:val="20"/>
          <w:lang w:eastAsia="zh-CN" w:bidi="hi-IN"/>
        </w:rPr>
        <w:t xml:space="preserve"> l’entreprise candidate doit démontrer que le projet ne pourrait pas être réalisé, ou devrait être sensiblement moins ambitieux, sans l’intervention d’Innoviris</w:t>
      </w:r>
      <w:r w:rsidR="00FD0179">
        <w:rPr>
          <w:rFonts w:eastAsia="SimSun"/>
          <w:szCs w:val="20"/>
          <w:lang w:eastAsia="zh-CN" w:bidi="hi-IN"/>
        </w:rPr>
        <w:t> ;</w:t>
      </w:r>
    </w:p>
    <w:p w14:paraId="64AF2DEF" w14:textId="77777777"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t>Ne pas déjà bénéficier d’un soutien public pour les tâches reprises dans le projet</w:t>
      </w:r>
      <w:r>
        <w:rPr>
          <w:rFonts w:eastAsia="SimSun"/>
          <w:szCs w:val="20"/>
          <w:lang w:eastAsia="zh-CN" w:bidi="hi-IN"/>
        </w:rPr>
        <w:t xml:space="preserve"> (interdiction de double financement).</w:t>
      </w:r>
    </w:p>
    <w:p w14:paraId="6BD32A13" w14:textId="77777777" w:rsidR="00F20AC4" w:rsidRDefault="00F20AC4" w:rsidP="0026137F">
      <w:pPr>
        <w:spacing w:after="55" w:line="259" w:lineRule="auto"/>
        <w:ind w:left="0" w:firstLine="0"/>
        <w:rPr>
          <w:szCs w:val="20"/>
        </w:rPr>
      </w:pPr>
    </w:p>
    <w:p w14:paraId="38A95A9D" w14:textId="77777777" w:rsidR="00E20EEF" w:rsidRDefault="00E20EEF" w:rsidP="0026137F">
      <w:pPr>
        <w:spacing w:after="55" w:line="259" w:lineRule="auto"/>
        <w:ind w:left="0" w:firstLine="0"/>
        <w:rPr>
          <w:szCs w:val="20"/>
        </w:rPr>
      </w:pPr>
    </w:p>
    <w:p w14:paraId="048E1567" w14:textId="77777777" w:rsidR="00E20EEF" w:rsidRPr="00E20EEF" w:rsidRDefault="00E20EEF" w:rsidP="0026137F">
      <w:pPr>
        <w:spacing w:after="55" w:line="259" w:lineRule="auto"/>
        <w:ind w:left="0" w:firstLine="0"/>
        <w:rPr>
          <w:szCs w:val="20"/>
        </w:rPr>
      </w:pPr>
    </w:p>
    <w:p w14:paraId="0B129605" w14:textId="77777777" w:rsidR="004859E9" w:rsidRDefault="004859E9" w:rsidP="0026137F">
      <w:pPr>
        <w:spacing w:after="55" w:line="259" w:lineRule="auto"/>
        <w:ind w:left="0" w:firstLine="0"/>
        <w:rPr>
          <w:szCs w:val="20"/>
        </w:rPr>
      </w:pPr>
    </w:p>
    <w:p w14:paraId="595EAEDC" w14:textId="77777777" w:rsidR="006C216C" w:rsidRDefault="0071240C">
      <w:pPr>
        <w:pStyle w:val="Titre1"/>
        <w:ind w:left="-5"/>
      </w:pPr>
      <w:r>
        <w:t xml:space="preserve">Sélection/évaluation des demandes </w:t>
      </w:r>
    </w:p>
    <w:p w14:paraId="20670750" w14:textId="77777777" w:rsidR="006C216C" w:rsidRDefault="0071240C">
      <w:pPr>
        <w:spacing w:after="71" w:line="259" w:lineRule="auto"/>
        <w:ind w:left="0" w:firstLine="0"/>
        <w:jc w:val="left"/>
      </w:pPr>
      <w:r>
        <w:rPr>
          <w:b/>
        </w:rPr>
        <w:t xml:space="preserve"> </w:t>
      </w:r>
    </w:p>
    <w:p w14:paraId="0BEB8E6B" w14:textId="77FDA312" w:rsidR="00A76CB9" w:rsidRDefault="00A76CB9" w:rsidP="00A76CB9">
      <w:pPr>
        <w:spacing w:after="0"/>
        <w:rPr>
          <w:rFonts w:eastAsia="MS Mincho" w:cs="Gotham XNarrow Medium"/>
          <w:bCs/>
          <w:szCs w:val="20"/>
          <w:lang w:eastAsia="zh-CN" w:bidi="hi-IN"/>
        </w:rPr>
      </w:pPr>
      <w:r>
        <w:rPr>
          <w:rFonts w:eastAsia="MS Mincho" w:cs="Gotham XNarrow Medium"/>
          <w:bCs/>
          <w:szCs w:val="20"/>
          <w:lang w:eastAsia="zh-CN" w:bidi="hi-IN"/>
        </w:rPr>
        <w:t xml:space="preserve">La réception des demandes de financement est suivie d’une vérification de l’éligibilité. Les </w:t>
      </w:r>
      <w:r w:rsidR="005439D7">
        <w:rPr>
          <w:rFonts w:eastAsia="MS Mincho" w:cs="Gotham XNarrow Medium"/>
          <w:bCs/>
          <w:szCs w:val="20"/>
          <w:lang w:eastAsia="zh-CN" w:bidi="hi-IN"/>
        </w:rPr>
        <w:t>entreprises éligibles seront ensuite invitées</w:t>
      </w:r>
      <w:r>
        <w:rPr>
          <w:rFonts w:eastAsia="MS Mincho" w:cs="Gotham XNarrow Medium"/>
          <w:bCs/>
          <w:szCs w:val="20"/>
          <w:lang w:eastAsia="zh-CN" w:bidi="hi-IN"/>
        </w:rPr>
        <w:t xml:space="preserve"> à défendre leur projet lors d’une </w:t>
      </w:r>
      <w:r w:rsidR="00775202" w:rsidRPr="00D71144">
        <w:rPr>
          <w:rFonts w:eastAsia="MS Mincho" w:cs="Gotham XNarrow Medium"/>
          <w:b/>
          <w:szCs w:val="20"/>
          <w:lang w:eastAsia="zh-CN" w:bidi="hi-IN"/>
        </w:rPr>
        <w:t>vidéo-conférence</w:t>
      </w:r>
      <w:r w:rsidR="00775202">
        <w:rPr>
          <w:rFonts w:eastAsia="MS Mincho" w:cs="Gotham XNarrow Medium"/>
          <w:bCs/>
          <w:szCs w:val="20"/>
          <w:lang w:eastAsia="zh-CN" w:bidi="hi-IN"/>
        </w:rPr>
        <w:t xml:space="preserve"> d’une durée d’une heure (maximum).</w:t>
      </w:r>
      <w:r w:rsidR="00A44ACF">
        <w:rPr>
          <w:rFonts w:eastAsia="MS Mincho" w:cs="Gotham XNarrow Medium"/>
          <w:bCs/>
          <w:szCs w:val="20"/>
          <w:lang w:eastAsia="zh-CN" w:bidi="hi-IN"/>
        </w:rPr>
        <w:t xml:space="preserve"> Cette réunion consistera en une présentation du projet par l’entreprise</w:t>
      </w:r>
      <w:r w:rsidR="00806B55">
        <w:rPr>
          <w:rFonts w:eastAsia="MS Mincho" w:cs="Gotham XNarrow Medium"/>
          <w:bCs/>
          <w:szCs w:val="20"/>
          <w:lang w:eastAsia="zh-CN" w:bidi="hi-IN"/>
        </w:rPr>
        <w:t xml:space="preserve"> suivie d’une</w:t>
      </w:r>
      <w:r w:rsidR="00FD3B3C">
        <w:rPr>
          <w:rFonts w:eastAsia="MS Mincho" w:cs="Gotham XNarrow Medium"/>
          <w:bCs/>
          <w:szCs w:val="20"/>
          <w:lang w:eastAsia="zh-CN" w:bidi="hi-IN"/>
        </w:rPr>
        <w:t xml:space="preserve"> </w:t>
      </w:r>
      <w:r w:rsidR="00806B55">
        <w:rPr>
          <w:rFonts w:eastAsia="MS Mincho" w:cs="Gotham XNarrow Medium"/>
          <w:bCs/>
          <w:szCs w:val="20"/>
          <w:lang w:eastAsia="zh-CN" w:bidi="hi-IN"/>
        </w:rPr>
        <w:t>session de questions &amp; réponses avec les conseillers d’Innoviris.</w:t>
      </w:r>
    </w:p>
    <w:p w14:paraId="66C35591" w14:textId="77777777" w:rsidR="00A76CB9" w:rsidRDefault="00A76CB9" w:rsidP="00A76CB9">
      <w:pPr>
        <w:spacing w:after="0"/>
        <w:rPr>
          <w:rFonts w:eastAsia="MS Mincho" w:cs="Gotham XNarrow Medium"/>
          <w:bCs/>
          <w:szCs w:val="20"/>
          <w:lang w:eastAsia="zh-CN" w:bidi="hi-IN"/>
        </w:rPr>
      </w:pPr>
    </w:p>
    <w:p w14:paraId="097FD810" w14:textId="6BE5EE2F" w:rsidR="00A76CB9" w:rsidRDefault="00BC226C" w:rsidP="00A76CB9">
      <w:pPr>
        <w:pStyle w:val="Sansinterligne"/>
        <w:jc w:val="both"/>
        <w:rPr>
          <w:rFonts w:ascii="Arial" w:hAnsi="Arial" w:cs="Arial"/>
          <w:sz w:val="20"/>
          <w:szCs w:val="20"/>
          <w:lang w:eastAsia="zh-CN" w:bidi="hi-IN"/>
        </w:rPr>
      </w:pPr>
      <w:r>
        <w:rPr>
          <w:rFonts w:ascii="Arial" w:hAnsi="Arial" w:cs="Arial"/>
          <w:sz w:val="20"/>
          <w:szCs w:val="20"/>
          <w:lang w:eastAsia="zh-CN" w:bidi="hi-IN"/>
        </w:rPr>
        <w:t>Les aspects suivant</w:t>
      </w:r>
      <w:r w:rsidR="005334CD">
        <w:rPr>
          <w:rFonts w:ascii="Arial" w:hAnsi="Arial" w:cs="Arial"/>
          <w:sz w:val="20"/>
          <w:szCs w:val="20"/>
          <w:lang w:eastAsia="zh-CN" w:bidi="hi-IN"/>
        </w:rPr>
        <w:t>s</w:t>
      </w:r>
      <w:r>
        <w:rPr>
          <w:rFonts w:ascii="Arial" w:hAnsi="Arial" w:cs="Arial"/>
          <w:sz w:val="20"/>
          <w:szCs w:val="20"/>
          <w:lang w:eastAsia="zh-CN" w:bidi="hi-IN"/>
        </w:rPr>
        <w:t xml:space="preserve"> seront évalués :</w:t>
      </w:r>
    </w:p>
    <w:p w14:paraId="0890854E" w14:textId="77777777" w:rsidR="00A76CB9" w:rsidRDefault="00A76CB9" w:rsidP="00A76CB9">
      <w:pPr>
        <w:pStyle w:val="Sansinterligne"/>
        <w:jc w:val="both"/>
        <w:rPr>
          <w:rFonts w:ascii="Arial" w:hAnsi="Arial" w:cs="Arial"/>
          <w:sz w:val="20"/>
          <w:szCs w:val="20"/>
          <w:lang w:eastAsia="zh-CN" w:bidi="hi-IN"/>
        </w:rPr>
      </w:pPr>
    </w:p>
    <w:p w14:paraId="2547ED16" w14:textId="07A8B24A" w:rsidR="00B822A8" w:rsidRPr="008D5146" w:rsidRDefault="00A76CB9" w:rsidP="002C122C">
      <w:pPr>
        <w:pStyle w:val="Sansinterligne"/>
        <w:numPr>
          <w:ilvl w:val="0"/>
          <w:numId w:val="10"/>
        </w:numPr>
        <w:ind w:left="717"/>
        <w:jc w:val="both"/>
        <w:rPr>
          <w:rFonts w:ascii="Arial" w:hAnsi="Arial" w:cs="Arial"/>
          <w:sz w:val="20"/>
          <w:szCs w:val="20"/>
          <w:lang w:eastAsia="zh-CN" w:bidi="hi-IN"/>
        </w:rPr>
      </w:pPr>
      <w:r w:rsidRPr="008D5146">
        <w:rPr>
          <w:rFonts w:ascii="Arial" w:hAnsi="Arial" w:cs="Arial"/>
          <w:b/>
          <w:bCs/>
          <w:sz w:val="20"/>
          <w:szCs w:val="20"/>
          <w:lang w:eastAsia="zh-CN" w:bidi="hi-IN"/>
        </w:rPr>
        <w:t xml:space="preserve">Innovation : </w:t>
      </w:r>
      <w:r w:rsidRPr="008D5146">
        <w:rPr>
          <w:rFonts w:ascii="Arial" w:hAnsi="Arial" w:cs="Arial"/>
          <w:sz w:val="20"/>
          <w:szCs w:val="20"/>
          <w:lang w:eastAsia="zh-CN" w:bidi="hi-IN"/>
        </w:rPr>
        <w:t xml:space="preserve">le </w:t>
      </w:r>
      <w:r w:rsidR="00E2085D" w:rsidRPr="008D5146">
        <w:rPr>
          <w:rFonts w:ascii="Arial" w:hAnsi="Arial" w:cs="Arial"/>
          <w:sz w:val="20"/>
          <w:szCs w:val="20"/>
          <w:lang w:eastAsia="zh-CN" w:bidi="hi-IN"/>
        </w:rPr>
        <w:t>développement</w:t>
      </w:r>
      <w:r w:rsidRPr="008D5146">
        <w:rPr>
          <w:rFonts w:ascii="Arial" w:hAnsi="Arial" w:cs="Arial"/>
          <w:sz w:val="20"/>
          <w:szCs w:val="20"/>
          <w:lang w:eastAsia="zh-CN" w:bidi="hi-IN"/>
        </w:rPr>
        <w:t xml:space="preserve"> faisant suite à l'étude de faisabilité</w:t>
      </w:r>
      <w:r w:rsidR="00E2085D" w:rsidRPr="008D5146">
        <w:rPr>
          <w:rFonts w:ascii="Arial" w:hAnsi="Arial" w:cs="Arial"/>
          <w:sz w:val="20"/>
          <w:szCs w:val="20"/>
          <w:lang w:eastAsia="zh-CN" w:bidi="hi-IN"/>
        </w:rPr>
        <w:t xml:space="preserve"> et à la preuve de concept</w:t>
      </w:r>
      <w:r w:rsidRPr="008D5146">
        <w:rPr>
          <w:rFonts w:ascii="Arial" w:hAnsi="Arial" w:cs="Arial"/>
          <w:sz w:val="20"/>
          <w:szCs w:val="20"/>
          <w:lang w:eastAsia="zh-CN" w:bidi="hi-IN"/>
        </w:rPr>
        <w:t xml:space="preserve"> doit représenter une innovation </w:t>
      </w:r>
      <w:r w:rsidR="004617D8" w:rsidRPr="008D5146">
        <w:rPr>
          <w:rFonts w:ascii="Arial" w:hAnsi="Arial" w:cs="Arial"/>
          <w:sz w:val="20"/>
          <w:szCs w:val="20"/>
          <w:lang w:eastAsia="zh-CN" w:bidi="hi-IN"/>
        </w:rPr>
        <w:t>pour l’entreprise et/ou son marché</w:t>
      </w:r>
      <w:r w:rsidR="00394E31" w:rsidRPr="008D5146">
        <w:rPr>
          <w:rFonts w:ascii="Arial" w:hAnsi="Arial" w:cs="Arial"/>
          <w:sz w:val="20"/>
          <w:szCs w:val="20"/>
          <w:lang w:eastAsia="zh-CN" w:bidi="hi-IN"/>
        </w:rPr>
        <w:t xml:space="preserve"> ; </w:t>
      </w:r>
    </w:p>
    <w:p w14:paraId="7A4331C4" w14:textId="2F0EE786" w:rsidR="00DC3551" w:rsidRPr="008D5146" w:rsidRDefault="00996CB4" w:rsidP="0080779F">
      <w:pPr>
        <w:pStyle w:val="Sansinterligne"/>
        <w:numPr>
          <w:ilvl w:val="0"/>
          <w:numId w:val="10"/>
        </w:numPr>
        <w:ind w:left="717"/>
        <w:jc w:val="both"/>
        <w:rPr>
          <w:rFonts w:ascii="Arial" w:hAnsi="Arial" w:cs="Arial"/>
          <w:sz w:val="20"/>
          <w:szCs w:val="20"/>
          <w:lang w:eastAsia="zh-CN" w:bidi="hi-IN"/>
        </w:rPr>
      </w:pPr>
      <w:r>
        <w:rPr>
          <w:rFonts w:ascii="Arial" w:hAnsi="Arial" w:cs="Arial"/>
          <w:b/>
          <w:bCs/>
          <w:sz w:val="20"/>
          <w:szCs w:val="20"/>
          <w:lang w:eastAsia="zh-CN" w:bidi="hi-IN"/>
        </w:rPr>
        <w:t>M</w:t>
      </w:r>
      <w:r w:rsidR="00A76CB9" w:rsidRPr="008D5146">
        <w:rPr>
          <w:rFonts w:ascii="Arial" w:hAnsi="Arial" w:cs="Arial"/>
          <w:b/>
          <w:bCs/>
          <w:sz w:val="20"/>
          <w:szCs w:val="20"/>
          <w:lang w:eastAsia="zh-CN" w:bidi="hi-IN"/>
        </w:rPr>
        <w:t>ise en œuvre :</w:t>
      </w:r>
      <w:r w:rsidR="00A76CB9" w:rsidRPr="008D5146">
        <w:rPr>
          <w:rFonts w:ascii="Arial" w:hAnsi="Arial" w:cs="Arial"/>
          <w:sz w:val="20"/>
          <w:szCs w:val="20"/>
          <w:lang w:eastAsia="zh-CN" w:bidi="hi-IN"/>
        </w:rPr>
        <w:t xml:space="preserve"> le programme de travail doit être pertinent et réaliste tant en termes de tâches, de budget, </w:t>
      </w:r>
      <w:r w:rsidR="00A34E41">
        <w:rPr>
          <w:rFonts w:ascii="Arial" w:hAnsi="Arial" w:cs="Arial"/>
          <w:sz w:val="20"/>
          <w:szCs w:val="20"/>
          <w:lang w:eastAsia="zh-CN" w:bidi="hi-IN"/>
        </w:rPr>
        <w:t>de méthodologie,</w:t>
      </w:r>
      <w:r w:rsidR="009D33D5">
        <w:rPr>
          <w:rFonts w:ascii="Arial" w:hAnsi="Arial" w:cs="Arial"/>
          <w:sz w:val="20"/>
          <w:szCs w:val="20"/>
          <w:lang w:eastAsia="zh-CN" w:bidi="hi-IN"/>
        </w:rPr>
        <w:t xml:space="preserve"> </w:t>
      </w:r>
      <w:r w:rsidR="00A76CB9" w:rsidRPr="008D5146">
        <w:rPr>
          <w:rFonts w:ascii="Arial" w:hAnsi="Arial" w:cs="Arial"/>
          <w:sz w:val="20"/>
          <w:szCs w:val="20"/>
          <w:lang w:eastAsia="zh-CN" w:bidi="hi-IN"/>
        </w:rPr>
        <w:t>d’expertise</w:t>
      </w:r>
      <w:r w:rsidR="004C084C" w:rsidRPr="008D5146">
        <w:rPr>
          <w:rFonts w:ascii="Arial" w:hAnsi="Arial" w:cs="Arial"/>
          <w:sz w:val="20"/>
          <w:szCs w:val="20"/>
          <w:lang w:eastAsia="zh-CN" w:bidi="hi-IN"/>
        </w:rPr>
        <w:t xml:space="preserve"> (interne et externe)</w:t>
      </w:r>
      <w:r w:rsidR="00A76CB9" w:rsidRPr="008D5146">
        <w:rPr>
          <w:rFonts w:ascii="Arial" w:hAnsi="Arial" w:cs="Arial"/>
          <w:sz w:val="20"/>
          <w:szCs w:val="20"/>
          <w:lang w:eastAsia="zh-CN" w:bidi="hi-IN"/>
        </w:rPr>
        <w:t xml:space="preserve"> que de ressources</w:t>
      </w:r>
      <w:r w:rsidR="00DC3551" w:rsidRPr="008D5146">
        <w:rPr>
          <w:rFonts w:ascii="Arial" w:hAnsi="Arial" w:cs="Arial"/>
          <w:sz w:val="20"/>
          <w:szCs w:val="20"/>
          <w:lang w:eastAsia="zh-CN" w:bidi="hi-IN"/>
        </w:rPr>
        <w:t> </w:t>
      </w:r>
      <w:r w:rsidR="00681B15" w:rsidRPr="008D5146">
        <w:rPr>
          <w:rFonts w:ascii="Arial" w:hAnsi="Arial" w:cs="Arial"/>
          <w:sz w:val="20"/>
          <w:szCs w:val="20"/>
          <w:lang w:eastAsia="zh-CN" w:bidi="hi-IN"/>
        </w:rPr>
        <w:t>(</w:t>
      </w:r>
      <w:r w:rsidR="00B6047D" w:rsidRPr="008D5146">
        <w:rPr>
          <w:rFonts w:ascii="Arial" w:hAnsi="Arial" w:cs="Arial"/>
          <w:sz w:val="20"/>
          <w:szCs w:val="20"/>
          <w:lang w:eastAsia="zh-CN" w:bidi="hi-IN"/>
        </w:rPr>
        <w:t xml:space="preserve">en particulier l’accès aux données) </w:t>
      </w:r>
      <w:r w:rsidR="00DC3551" w:rsidRPr="008D5146">
        <w:rPr>
          <w:rFonts w:ascii="Arial" w:hAnsi="Arial" w:cs="Arial"/>
          <w:sz w:val="20"/>
          <w:szCs w:val="20"/>
          <w:lang w:eastAsia="zh-CN" w:bidi="hi-IN"/>
        </w:rPr>
        <w:t xml:space="preserve">; </w:t>
      </w:r>
    </w:p>
    <w:p w14:paraId="1ACDC19B" w14:textId="3D4BA8C2" w:rsidR="00A76CB9" w:rsidRDefault="00A76CB9" w:rsidP="00A76CB9">
      <w:pPr>
        <w:pStyle w:val="Sansinterligne"/>
        <w:numPr>
          <w:ilvl w:val="0"/>
          <w:numId w:val="10"/>
        </w:numPr>
        <w:ind w:left="717"/>
        <w:jc w:val="both"/>
        <w:rPr>
          <w:rFonts w:ascii="Arial" w:hAnsi="Arial" w:cs="Arial"/>
          <w:sz w:val="20"/>
          <w:szCs w:val="20"/>
          <w:lang w:eastAsia="zh-CN" w:bidi="hi-IN"/>
        </w:rPr>
      </w:pPr>
      <w:r>
        <w:rPr>
          <w:rFonts w:ascii="Arial" w:hAnsi="Arial" w:cs="Arial"/>
          <w:b/>
          <w:bCs/>
          <w:sz w:val="20"/>
          <w:szCs w:val="20"/>
          <w:lang w:eastAsia="zh-CN" w:bidi="hi-IN"/>
        </w:rPr>
        <w:t>Impact stratégique et économique :</w:t>
      </w:r>
      <w:r>
        <w:rPr>
          <w:rFonts w:ascii="Arial" w:hAnsi="Arial" w:cs="Arial"/>
          <w:sz w:val="20"/>
          <w:szCs w:val="20"/>
          <w:lang w:eastAsia="zh-CN" w:bidi="hi-IN"/>
        </w:rPr>
        <w:t xml:space="preserve"> l’activité faisant l’objet du projet doit démontrer un réel potentiel de création de valeur. Le projet doit s’inscrire dans la stratégie globale de l’organisation et refléter un business model viable</w:t>
      </w:r>
      <w:r w:rsidR="008E5B62">
        <w:rPr>
          <w:rFonts w:ascii="Arial" w:hAnsi="Arial" w:cs="Arial"/>
          <w:sz w:val="20"/>
          <w:szCs w:val="20"/>
          <w:lang w:eastAsia="zh-CN" w:bidi="hi-IN"/>
        </w:rPr>
        <w:t> ;</w:t>
      </w:r>
    </w:p>
    <w:p w14:paraId="62891712" w14:textId="6CC5EACB" w:rsidR="00A76CB9" w:rsidRDefault="00A76CB9" w:rsidP="00A76CB9">
      <w:pPr>
        <w:pStyle w:val="Sansinterligne"/>
        <w:numPr>
          <w:ilvl w:val="0"/>
          <w:numId w:val="10"/>
        </w:numPr>
        <w:ind w:left="717"/>
        <w:jc w:val="both"/>
        <w:rPr>
          <w:rFonts w:ascii="Arial" w:hAnsi="Arial" w:cs="Arial"/>
          <w:sz w:val="20"/>
          <w:szCs w:val="20"/>
          <w:lang w:eastAsia="zh-CN" w:bidi="hi-IN"/>
        </w:rPr>
      </w:pPr>
      <w:r>
        <w:rPr>
          <w:rFonts w:ascii="Arial" w:hAnsi="Arial" w:cs="Arial"/>
          <w:b/>
          <w:bCs/>
          <w:sz w:val="20"/>
          <w:szCs w:val="20"/>
          <w:lang w:eastAsia="zh-CN" w:bidi="hi-IN"/>
        </w:rPr>
        <w:t xml:space="preserve">Valorisation </w:t>
      </w:r>
      <w:r w:rsidR="00237B8D">
        <w:rPr>
          <w:rFonts w:ascii="Arial" w:hAnsi="Arial" w:cs="Arial"/>
          <w:b/>
          <w:bCs/>
          <w:sz w:val="20"/>
          <w:szCs w:val="20"/>
          <w:lang w:eastAsia="zh-CN" w:bidi="hi-IN"/>
        </w:rPr>
        <w:t>sociétale</w:t>
      </w:r>
      <w:r>
        <w:rPr>
          <w:rFonts w:ascii="Arial" w:hAnsi="Arial" w:cs="Arial"/>
          <w:b/>
          <w:bCs/>
          <w:sz w:val="20"/>
          <w:szCs w:val="20"/>
          <w:lang w:eastAsia="zh-CN" w:bidi="hi-IN"/>
        </w:rPr>
        <w:t> :</w:t>
      </w:r>
      <w:r>
        <w:rPr>
          <w:rFonts w:ascii="Arial" w:hAnsi="Arial" w:cs="Arial"/>
          <w:sz w:val="20"/>
          <w:szCs w:val="20"/>
          <w:lang w:eastAsia="zh-CN" w:bidi="hi-IN"/>
        </w:rPr>
        <w:t xml:space="preserve"> l’activité faisant l’objet du projet doit démontrer un impact social, environnemental et/ou sur l’écosystème bruxellois.</w:t>
      </w:r>
    </w:p>
    <w:p w14:paraId="6ECAAC6A" w14:textId="77777777" w:rsidR="00BB3A5C" w:rsidRPr="00721683" w:rsidRDefault="00BB3A5C" w:rsidP="00996CB4">
      <w:pPr>
        <w:pStyle w:val="Sansinterligne"/>
        <w:ind w:left="717"/>
        <w:jc w:val="both"/>
        <w:rPr>
          <w:rFonts w:ascii="Arial" w:hAnsi="Arial" w:cs="Arial"/>
          <w:sz w:val="20"/>
          <w:szCs w:val="20"/>
          <w:lang w:eastAsia="zh-CN" w:bidi="hi-IN"/>
        </w:rPr>
      </w:pPr>
    </w:p>
    <w:p w14:paraId="66CAC355" w14:textId="77777777" w:rsidR="00A76CB9" w:rsidRDefault="00A76CB9">
      <w:pPr>
        <w:spacing w:after="96"/>
        <w:ind w:left="-5"/>
      </w:pPr>
    </w:p>
    <w:p w14:paraId="05C46606" w14:textId="77777777" w:rsidR="0066665A" w:rsidRDefault="0066665A" w:rsidP="003064E2">
      <w:pPr>
        <w:widowControl w:val="0"/>
        <w:spacing w:before="68" w:after="62" w:line="227" w:lineRule="atLeast"/>
        <w:rPr>
          <w:rFonts w:eastAsia="TimesNewRomanPSMT" w:cs="Gotham XNarrow Medium"/>
          <w:b/>
          <w:color w:val="004586"/>
          <w:sz w:val="28"/>
          <w:szCs w:val="28"/>
          <w:lang w:eastAsia="zh-CN" w:bidi="hi-IN"/>
        </w:rPr>
      </w:pPr>
    </w:p>
    <w:p w14:paraId="65553862" w14:textId="571618DB" w:rsidR="003064E2" w:rsidRPr="008F3DE3" w:rsidRDefault="003064E2" w:rsidP="003064E2">
      <w:pPr>
        <w:widowControl w:val="0"/>
        <w:spacing w:before="68" w:after="62" w:line="227" w:lineRule="atLeast"/>
        <w:rPr>
          <w:rFonts w:eastAsia="TimesNewRomanPSMT" w:cs="Gotham XNarrow Medium"/>
          <w:b/>
          <w:color w:val="004586"/>
          <w:sz w:val="28"/>
          <w:szCs w:val="28"/>
          <w:lang w:eastAsia="zh-CN" w:bidi="hi-IN"/>
        </w:rPr>
      </w:pPr>
      <w:r>
        <w:rPr>
          <w:rFonts w:eastAsia="TimesNewRomanPSMT" w:cs="Gotham XNarrow Medium"/>
          <w:b/>
          <w:color w:val="004586"/>
          <w:sz w:val="28"/>
          <w:szCs w:val="28"/>
          <w:lang w:eastAsia="zh-CN" w:bidi="hi-IN"/>
        </w:rPr>
        <w:t>Accompagnement</w:t>
      </w:r>
    </w:p>
    <w:p w14:paraId="1160F4A0" w14:textId="77777777" w:rsidR="003064E2" w:rsidRDefault="003064E2" w:rsidP="003064E2">
      <w:pPr>
        <w:widowControl w:val="0"/>
        <w:spacing w:before="68" w:after="62" w:line="227" w:lineRule="atLeast"/>
        <w:rPr>
          <w:rFonts w:eastAsia="MS Mincho" w:cs="Gotham XNarrow Medium"/>
          <w:b/>
          <w:szCs w:val="20"/>
          <w:u w:val="single"/>
          <w:lang w:eastAsia="zh-CN" w:bidi="hi-IN"/>
        </w:rPr>
      </w:pPr>
    </w:p>
    <w:p w14:paraId="300EDF9C" w14:textId="1E571633" w:rsidR="003064E2" w:rsidRDefault="0090723F" w:rsidP="0073434B">
      <w:pPr>
        <w:spacing w:after="55" w:line="259" w:lineRule="auto"/>
        <w:ind w:left="0" w:firstLine="0"/>
      </w:pPr>
      <w:r>
        <w:t xml:space="preserve">Innoviris recommande fortement aux entreprises de se faire accompagner </w:t>
      </w:r>
      <w:r w:rsidR="00DB1F58">
        <w:t xml:space="preserve">dans leur parcours d’innovation IA par </w:t>
      </w:r>
      <w:hyperlink r:id="rId12" w:history="1">
        <w:r w:rsidR="00DB1F58" w:rsidRPr="00837A67">
          <w:rPr>
            <w:rStyle w:val="Lienhypertexte"/>
          </w:rPr>
          <w:t>sustain.</w:t>
        </w:r>
        <w:r w:rsidR="003064E2" w:rsidRPr="00837A67">
          <w:rPr>
            <w:rStyle w:val="Lienhypertexte"/>
          </w:rPr>
          <w:t>brussels</w:t>
        </w:r>
      </w:hyperlink>
      <w:r w:rsidR="00DB1F58">
        <w:t xml:space="preserve">, le Digital Innovation Hub de la Région bruxelloise. </w:t>
      </w:r>
      <w:r w:rsidR="000E3CE1">
        <w:t>Sustain.brussels offre un accompagnement gratuit</w:t>
      </w:r>
      <w:r w:rsidR="0081523A">
        <w:t xml:space="preserve"> et personnalisé</w:t>
      </w:r>
      <w:r w:rsidR="000E3CE1">
        <w:t xml:space="preserve"> aux entreprises </w:t>
      </w:r>
      <w:r w:rsidR="00DE01A0">
        <w:t>désireuses de</w:t>
      </w:r>
      <w:r w:rsidR="0061584B">
        <w:t xml:space="preserve"> se</w:t>
      </w:r>
      <w:r w:rsidR="0081523A">
        <w:t xml:space="preserve"> développ</w:t>
      </w:r>
      <w:r w:rsidR="00F01D0B">
        <w:t>er</w:t>
      </w:r>
      <w:r w:rsidR="0081523A">
        <w:t xml:space="preserve"> dans l’IA. </w:t>
      </w:r>
      <w:r w:rsidR="003E6EB5">
        <w:t>Sustain.brussels</w:t>
      </w:r>
      <w:r w:rsidR="002B6C43">
        <w:t xml:space="preserve"> aidera l’entreprise à murir son projet et si besoin pour</w:t>
      </w:r>
      <w:r w:rsidR="00293B3E">
        <w:t xml:space="preserve">ra </w:t>
      </w:r>
      <w:r w:rsidR="002B6C43">
        <w:t>lui proposer de s’in</w:t>
      </w:r>
      <w:r w:rsidR="00901A6F">
        <w:t>s</w:t>
      </w:r>
      <w:r w:rsidR="002B6C43">
        <w:t xml:space="preserve">crire dans le programme </w:t>
      </w:r>
      <w:hyperlink r:id="rId13" w:history="1">
        <w:r w:rsidR="002B6C43" w:rsidRPr="00596C7D">
          <w:rPr>
            <w:rStyle w:val="Lienhypertexte"/>
          </w:rPr>
          <w:t>STARTIA</w:t>
        </w:r>
      </w:hyperlink>
      <w:r w:rsidR="0073434B">
        <w:t xml:space="preserve"> en préalable à une soumission au présent appel GENAI.</w:t>
      </w:r>
    </w:p>
    <w:p w14:paraId="5CD7FEC2" w14:textId="77777777" w:rsidR="003064E2" w:rsidRDefault="003064E2">
      <w:pPr>
        <w:ind w:left="-5"/>
      </w:pPr>
    </w:p>
    <w:p w14:paraId="2631B79A" w14:textId="77777777" w:rsidR="00056D33" w:rsidRDefault="00056D33">
      <w:pPr>
        <w:ind w:left="-5"/>
      </w:pPr>
    </w:p>
    <w:p w14:paraId="4CC3CDE0" w14:textId="77777777" w:rsidR="00954A29" w:rsidRDefault="00954A29">
      <w:pPr>
        <w:ind w:left="-5"/>
      </w:pPr>
    </w:p>
    <w:p w14:paraId="2645884D" w14:textId="7DA62AAB" w:rsidR="006B1EEC" w:rsidRDefault="0060672C" w:rsidP="006B1EEC">
      <w:pPr>
        <w:pStyle w:val="Titre1"/>
        <w:ind w:left="-5"/>
      </w:pPr>
      <w:r>
        <w:t>Contact</w:t>
      </w:r>
    </w:p>
    <w:p w14:paraId="548ABC00" w14:textId="77777777" w:rsidR="006B1EEC" w:rsidRDefault="006B1EEC" w:rsidP="006B1EEC">
      <w:pPr>
        <w:spacing w:after="71" w:line="259" w:lineRule="auto"/>
        <w:ind w:left="0" w:firstLine="0"/>
        <w:jc w:val="left"/>
      </w:pPr>
      <w:r>
        <w:rPr>
          <w:b/>
        </w:rPr>
        <w:t xml:space="preserve"> </w:t>
      </w:r>
    </w:p>
    <w:p w14:paraId="69DF48C9" w14:textId="0B4699E3" w:rsidR="006B1EEC" w:rsidRDefault="004557F0" w:rsidP="001E48E6">
      <w:pPr>
        <w:ind w:left="-5"/>
      </w:pPr>
      <w:r>
        <w:t>Des questions sur ce programme ? N’hésitez pas à contacter Jonathan Duplicy</w:t>
      </w:r>
      <w:r w:rsidR="00B94CDE">
        <w:t>, conseiller scientifique,</w:t>
      </w:r>
      <w:r>
        <w:t xml:space="preserve"> par email : </w:t>
      </w:r>
      <w:hyperlink r:id="rId14" w:history="1">
        <w:r w:rsidR="001A1DEA" w:rsidRPr="003D7E1F">
          <w:rPr>
            <w:rStyle w:val="Lienhypertexte"/>
          </w:rPr>
          <w:t>jduplicy@innoviris.brussels</w:t>
        </w:r>
      </w:hyperlink>
      <w:r w:rsidR="001A1DEA">
        <w:t>.</w:t>
      </w:r>
    </w:p>
    <w:sectPr w:rsidR="006B1EEC">
      <w:headerReference w:type="even" r:id="rId15"/>
      <w:headerReference w:type="default" r:id="rId16"/>
      <w:footerReference w:type="even" r:id="rId17"/>
      <w:footerReference w:type="default" r:id="rId18"/>
      <w:headerReference w:type="first" r:id="rId19"/>
      <w:footerReference w:type="first" r:id="rId20"/>
      <w:pgSz w:w="11906" w:h="16838"/>
      <w:pgMar w:top="1423" w:right="1416" w:bottom="1629" w:left="1416" w:header="457"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4D764" w14:textId="77777777" w:rsidR="00782E28" w:rsidRDefault="00782E28">
      <w:pPr>
        <w:spacing w:after="0" w:line="240" w:lineRule="auto"/>
      </w:pPr>
      <w:r>
        <w:separator/>
      </w:r>
    </w:p>
  </w:endnote>
  <w:endnote w:type="continuationSeparator" w:id="0">
    <w:p w14:paraId="22F267C3" w14:textId="77777777" w:rsidR="00782E28" w:rsidRDefault="0078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MT">
    <w:charset w:val="00"/>
    <w:family w:val="roman"/>
    <w:pitch w:val="default"/>
  </w:font>
  <w:font w:name="Gotham XNarrow Medium">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79301" w14:textId="77777777" w:rsidR="006C216C" w:rsidRDefault="0071240C">
    <w:pPr>
      <w:spacing w:after="0" w:line="259" w:lineRule="auto"/>
      <w:ind w:left="0" w:firstLine="0"/>
      <w:jc w:val="left"/>
    </w:pPr>
    <w:r>
      <w:rPr>
        <w:sz w:val="16"/>
      </w:rPr>
      <w:t xml:space="preserve">INNOVIRIS </w:t>
    </w:r>
  </w:p>
  <w:p w14:paraId="507F7789" w14:textId="77777777" w:rsidR="006C216C" w:rsidRDefault="0071240C">
    <w:pPr>
      <w:tabs>
        <w:tab w:val="center" w:pos="4537"/>
        <w:tab w:val="right" w:pos="9074"/>
      </w:tabs>
      <w:spacing w:after="43" w:line="259" w:lineRule="auto"/>
      <w:ind w:left="0" w:right="-1" w:firstLine="0"/>
      <w:jc w:val="left"/>
    </w:pPr>
    <w:r>
      <w:rPr>
        <w:sz w:val="16"/>
      </w:rPr>
      <w:t xml:space="preserve">Chaussée de Charleroi 112, 1060 Bruxelles </w:t>
    </w:r>
    <w:r>
      <w:rPr>
        <w:sz w:val="16"/>
      </w:rPr>
      <w:tab/>
      <w:t xml:space="preserve"> </w:t>
    </w:r>
    <w:r>
      <w:rPr>
        <w:sz w:val="16"/>
      </w:rPr>
      <w:tab/>
      <w:t xml:space="preserve">Règlement </w:t>
    </w:r>
  </w:p>
  <w:p w14:paraId="4519AB72" w14:textId="77777777" w:rsidR="006C216C" w:rsidRDefault="0071240C">
    <w:pPr>
      <w:tabs>
        <w:tab w:val="center" w:pos="4537"/>
        <w:tab w:val="right" w:pos="9074"/>
      </w:tabs>
      <w:spacing w:after="0" w:line="259" w:lineRule="auto"/>
      <w:ind w:left="0" w:right="-2" w:firstLine="0"/>
      <w:jc w:val="left"/>
    </w:pPr>
    <w:r>
      <w:rPr>
        <w:sz w:val="16"/>
      </w:rPr>
      <w:t xml:space="preserve">T: 02.600.50.34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95B6" w14:textId="77777777" w:rsidR="006C216C" w:rsidRDefault="0071240C">
    <w:pPr>
      <w:spacing w:after="0" w:line="259" w:lineRule="auto"/>
      <w:ind w:left="0" w:firstLine="0"/>
      <w:jc w:val="left"/>
    </w:pPr>
    <w:r>
      <w:rPr>
        <w:sz w:val="16"/>
      </w:rPr>
      <w:t xml:space="preserve">INNOVIRIS </w:t>
    </w:r>
  </w:p>
  <w:p w14:paraId="23A132CC" w14:textId="764E7FF9" w:rsidR="006C216C" w:rsidRDefault="0071240C">
    <w:pPr>
      <w:tabs>
        <w:tab w:val="center" w:pos="4537"/>
        <w:tab w:val="right" w:pos="9074"/>
      </w:tabs>
      <w:spacing w:after="43" w:line="259" w:lineRule="auto"/>
      <w:ind w:left="0" w:right="-1" w:firstLine="0"/>
      <w:jc w:val="left"/>
    </w:pPr>
    <w:r>
      <w:rPr>
        <w:sz w:val="16"/>
      </w:rPr>
      <w:t xml:space="preserve">Chaussée de Charleroi 112, 1060 Bruxelles </w:t>
    </w:r>
    <w:r>
      <w:rPr>
        <w:sz w:val="16"/>
      </w:rPr>
      <w:tab/>
      <w:t xml:space="preserve"> </w:t>
    </w:r>
    <w:r>
      <w:rPr>
        <w:sz w:val="16"/>
      </w:rPr>
      <w:tab/>
    </w:r>
    <w:r w:rsidR="003552D5">
      <w:rPr>
        <w:sz w:val="16"/>
      </w:rPr>
      <w:t xml:space="preserve">Appel </w:t>
    </w:r>
    <w:r w:rsidR="0024161F">
      <w:rPr>
        <w:sz w:val="16"/>
      </w:rPr>
      <w:t xml:space="preserve">GENAI </w:t>
    </w:r>
    <w:r w:rsidR="003552D5">
      <w:rPr>
        <w:sz w:val="16"/>
      </w:rPr>
      <w:t xml:space="preserve">- </w:t>
    </w:r>
    <w:r>
      <w:rPr>
        <w:sz w:val="16"/>
      </w:rPr>
      <w:t xml:space="preserve">Règlement </w:t>
    </w:r>
  </w:p>
  <w:p w14:paraId="7A26811D" w14:textId="77777777" w:rsidR="006C216C" w:rsidRDefault="0071240C">
    <w:pPr>
      <w:tabs>
        <w:tab w:val="center" w:pos="4537"/>
        <w:tab w:val="right" w:pos="9074"/>
      </w:tabs>
      <w:spacing w:after="0" w:line="259" w:lineRule="auto"/>
      <w:ind w:left="0" w:right="-2" w:firstLine="0"/>
      <w:jc w:val="left"/>
    </w:pPr>
    <w:r>
      <w:rPr>
        <w:sz w:val="16"/>
      </w:rPr>
      <w:t xml:space="preserve">T: 02.600.50.34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9E81" w14:textId="77777777" w:rsidR="006C216C" w:rsidRDefault="0071240C">
    <w:pPr>
      <w:spacing w:after="0" w:line="259" w:lineRule="auto"/>
      <w:ind w:left="0" w:firstLine="0"/>
      <w:jc w:val="left"/>
    </w:pPr>
    <w:r>
      <w:rPr>
        <w:sz w:val="16"/>
      </w:rPr>
      <w:t xml:space="preserve">INNOVIRIS </w:t>
    </w:r>
  </w:p>
  <w:p w14:paraId="485092FB" w14:textId="77777777" w:rsidR="006C216C" w:rsidRDefault="0071240C">
    <w:pPr>
      <w:tabs>
        <w:tab w:val="center" w:pos="4537"/>
        <w:tab w:val="right" w:pos="9074"/>
      </w:tabs>
      <w:spacing w:after="43" w:line="259" w:lineRule="auto"/>
      <w:ind w:left="0" w:right="-1" w:firstLine="0"/>
      <w:jc w:val="left"/>
    </w:pPr>
    <w:r>
      <w:rPr>
        <w:sz w:val="16"/>
      </w:rPr>
      <w:t xml:space="preserve">Chaussée de Charleroi 112, 1060 Bruxelles </w:t>
    </w:r>
    <w:r>
      <w:rPr>
        <w:sz w:val="16"/>
      </w:rPr>
      <w:tab/>
      <w:t xml:space="preserve"> </w:t>
    </w:r>
    <w:r>
      <w:rPr>
        <w:sz w:val="16"/>
      </w:rPr>
      <w:tab/>
      <w:t xml:space="preserve">Règlement </w:t>
    </w:r>
  </w:p>
  <w:p w14:paraId="56237209" w14:textId="77777777" w:rsidR="006C216C" w:rsidRDefault="0071240C">
    <w:pPr>
      <w:tabs>
        <w:tab w:val="center" w:pos="4537"/>
        <w:tab w:val="right" w:pos="9074"/>
      </w:tabs>
      <w:spacing w:after="0" w:line="259" w:lineRule="auto"/>
      <w:ind w:left="0" w:right="-2" w:firstLine="0"/>
      <w:jc w:val="left"/>
    </w:pPr>
    <w:r>
      <w:rPr>
        <w:sz w:val="16"/>
      </w:rPr>
      <w:t xml:space="preserve">T: 02.600.50.34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2772D" w14:textId="77777777" w:rsidR="00782E28" w:rsidRDefault="00782E28">
      <w:pPr>
        <w:spacing w:after="0" w:line="240" w:lineRule="auto"/>
      </w:pPr>
      <w:r>
        <w:separator/>
      </w:r>
    </w:p>
  </w:footnote>
  <w:footnote w:type="continuationSeparator" w:id="0">
    <w:p w14:paraId="283F1201" w14:textId="77777777" w:rsidR="00782E28" w:rsidRDefault="00782E28">
      <w:pPr>
        <w:spacing w:after="0" w:line="240" w:lineRule="auto"/>
      </w:pPr>
      <w:r>
        <w:continuationSeparator/>
      </w:r>
    </w:p>
  </w:footnote>
  <w:footnote w:id="1">
    <w:p w14:paraId="4C50ECAE" w14:textId="0402A5AE" w:rsidR="002E6556" w:rsidRDefault="002E6556">
      <w:pPr>
        <w:pStyle w:val="Notedebasdepage"/>
      </w:pPr>
      <w:r>
        <w:rPr>
          <w:rStyle w:val="Appelnotedebasdep"/>
        </w:rPr>
        <w:footnoteRef/>
      </w:r>
      <w:r>
        <w:t xml:space="preserve"> </w:t>
      </w:r>
      <w:r w:rsidRPr="002E6556">
        <w:t>https://www.rand.org/pubs/research_reports/RRA2680-1.html</w:t>
      </w:r>
      <w:r w:rsidR="001A5751">
        <w:t>&gt;</w:t>
      </w:r>
    </w:p>
  </w:footnote>
  <w:footnote w:id="2">
    <w:p w14:paraId="6C1FF5AE" w14:textId="1B75C06B" w:rsidR="006922D7" w:rsidRDefault="006922D7">
      <w:pPr>
        <w:pStyle w:val="Notedebasdepage"/>
      </w:pPr>
      <w:r>
        <w:rPr>
          <w:rStyle w:val="Appelnotedebasdep"/>
        </w:rPr>
        <w:footnoteRef/>
      </w:r>
      <w:r>
        <w:t xml:space="preserve"> </w:t>
      </w:r>
      <w:hyperlink r:id="rId1" w:history="1">
        <w:r w:rsidRPr="00B21174">
          <w:rPr>
            <w:rStyle w:val="Lienhypertexte"/>
          </w:rPr>
          <w:t>https://eur-lex.europa.eu/legal-content/FR/TXT/PDF/?uri=CELEX:52014XC0731(01)&amp;from=PL</w:t>
        </w:r>
      </w:hyperlink>
    </w:p>
    <w:p w14:paraId="49A5DD6D" w14:textId="77777777" w:rsidR="006922D7" w:rsidRPr="006922D7" w:rsidRDefault="006922D7">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DD56" w14:textId="77777777" w:rsidR="006C216C" w:rsidRDefault="0071240C">
    <w:pPr>
      <w:spacing w:after="0" w:line="259" w:lineRule="auto"/>
      <w:ind w:left="-791" w:right="-49" w:firstLine="0"/>
      <w:jc w:val="right"/>
    </w:pPr>
    <w:r>
      <w:rPr>
        <w:noProof/>
      </w:rPr>
      <w:drawing>
        <wp:anchor distT="0" distB="0" distL="114300" distR="114300" simplePos="0" relativeHeight="251658240" behindDoc="0" locked="0" layoutInCell="1" allowOverlap="0" wp14:anchorId="4DFEC82A" wp14:editId="4251CCCC">
          <wp:simplePos x="0" y="0"/>
          <wp:positionH relativeFrom="page">
            <wp:posOffset>396875</wp:posOffset>
          </wp:positionH>
          <wp:positionV relativeFrom="page">
            <wp:posOffset>290195</wp:posOffset>
          </wp:positionV>
          <wp:extent cx="1318260" cy="60198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8AAF7" w14:textId="129B00CB" w:rsidR="00304EDE" w:rsidRPr="00304EDE" w:rsidRDefault="00304EDE" w:rsidP="00304EDE">
    <w:pPr>
      <w:spacing w:after="0" w:line="259" w:lineRule="auto"/>
      <w:ind w:left="-791" w:right="-49" w:firstLine="0"/>
      <w:jc w:val="right"/>
      <w:rPr>
        <w:rFonts w:ascii="Calibri" w:eastAsia="Calibri" w:hAnsi="Calibri" w:cs="Calibri"/>
        <w:sz w:val="22"/>
      </w:rPr>
    </w:pPr>
  </w:p>
  <w:p w14:paraId="688B6EDE" w14:textId="77777777" w:rsidR="006C216C" w:rsidRDefault="0071240C">
    <w:pPr>
      <w:spacing w:after="0" w:line="259" w:lineRule="auto"/>
      <w:ind w:left="-791" w:right="-49" w:firstLine="0"/>
      <w:jc w:val="right"/>
    </w:pPr>
    <w:r>
      <w:rPr>
        <w:noProof/>
      </w:rPr>
      <w:drawing>
        <wp:anchor distT="0" distB="0" distL="114300" distR="114300" simplePos="0" relativeHeight="251659264" behindDoc="0" locked="0" layoutInCell="1" allowOverlap="0" wp14:anchorId="572A8A45" wp14:editId="160762F1">
          <wp:simplePos x="0" y="0"/>
          <wp:positionH relativeFrom="page">
            <wp:posOffset>396875</wp:posOffset>
          </wp:positionH>
          <wp:positionV relativeFrom="page">
            <wp:posOffset>290195</wp:posOffset>
          </wp:positionV>
          <wp:extent cx="1318260" cy="601980"/>
          <wp:effectExtent l="0" t="0" r="0" b="0"/>
          <wp:wrapSquare wrapText="bothSides"/>
          <wp:docPr id="1560925850"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AB211" w14:textId="77777777" w:rsidR="006C216C" w:rsidRDefault="0071240C">
    <w:pPr>
      <w:spacing w:after="0" w:line="259" w:lineRule="auto"/>
      <w:ind w:left="-791" w:right="-49" w:firstLine="0"/>
      <w:jc w:val="right"/>
    </w:pPr>
    <w:r>
      <w:rPr>
        <w:noProof/>
      </w:rPr>
      <w:drawing>
        <wp:anchor distT="0" distB="0" distL="114300" distR="114300" simplePos="0" relativeHeight="251660288" behindDoc="0" locked="0" layoutInCell="1" allowOverlap="0" wp14:anchorId="346B8447" wp14:editId="1BBE71A2">
          <wp:simplePos x="0" y="0"/>
          <wp:positionH relativeFrom="page">
            <wp:posOffset>396875</wp:posOffset>
          </wp:positionH>
          <wp:positionV relativeFrom="page">
            <wp:posOffset>290195</wp:posOffset>
          </wp:positionV>
          <wp:extent cx="1318260" cy="601980"/>
          <wp:effectExtent l="0" t="0" r="0" b="0"/>
          <wp:wrapSquare wrapText="bothSides"/>
          <wp:docPr id="9813390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F432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E57E4"/>
    <w:multiLevelType w:val="hybridMultilevel"/>
    <w:tmpl w:val="2D6023A4"/>
    <w:lvl w:ilvl="0" w:tplc="D016590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54ECC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06116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28E5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78472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A8DB3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9029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10BCE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D8011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9935DF"/>
    <w:multiLevelType w:val="hybridMultilevel"/>
    <w:tmpl w:val="CC16ED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A18536E"/>
    <w:multiLevelType w:val="hybridMultilevel"/>
    <w:tmpl w:val="E6DE7612"/>
    <w:lvl w:ilvl="0" w:tplc="0EE23E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8A60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CCEB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AA4C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4C18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EE9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8A7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7E08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2E7A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44752B"/>
    <w:multiLevelType w:val="hybridMultilevel"/>
    <w:tmpl w:val="72D4AED0"/>
    <w:lvl w:ilvl="0" w:tplc="E51E7098">
      <w:start w:val="1"/>
      <w:numFmt w:val="bullet"/>
      <w:lvlText w:val=""/>
      <w:lvlJc w:val="left"/>
      <w:pPr>
        <w:ind w:left="360" w:hanging="360"/>
      </w:pPr>
      <w:rPr>
        <w:rFonts w:ascii="Symbol" w:hAnsi="Symbol" w:hint="default"/>
      </w:rPr>
    </w:lvl>
    <w:lvl w:ilvl="1" w:tplc="EEB88A82">
      <w:start w:val="1"/>
      <w:numFmt w:val="lowerLetter"/>
      <w:lvlText w:val="%2."/>
      <w:lvlJc w:val="left"/>
      <w:pPr>
        <w:ind w:left="1080" w:hanging="360"/>
      </w:pPr>
    </w:lvl>
    <w:lvl w:ilvl="2" w:tplc="28303C76">
      <w:start w:val="1"/>
      <w:numFmt w:val="lowerRoman"/>
      <w:lvlText w:val="%3."/>
      <w:lvlJc w:val="right"/>
      <w:pPr>
        <w:ind w:left="1800" w:hanging="180"/>
      </w:pPr>
    </w:lvl>
    <w:lvl w:ilvl="3" w:tplc="06FE8018">
      <w:start w:val="1"/>
      <w:numFmt w:val="decimal"/>
      <w:lvlText w:val="%4."/>
      <w:lvlJc w:val="left"/>
      <w:pPr>
        <w:ind w:left="2520" w:hanging="360"/>
      </w:pPr>
    </w:lvl>
    <w:lvl w:ilvl="4" w:tplc="A82C21A4">
      <w:start w:val="1"/>
      <w:numFmt w:val="lowerLetter"/>
      <w:lvlText w:val="%5."/>
      <w:lvlJc w:val="left"/>
      <w:pPr>
        <w:ind w:left="3240" w:hanging="360"/>
      </w:pPr>
    </w:lvl>
    <w:lvl w:ilvl="5" w:tplc="D6620632">
      <w:start w:val="1"/>
      <w:numFmt w:val="lowerRoman"/>
      <w:lvlText w:val="%6."/>
      <w:lvlJc w:val="right"/>
      <w:pPr>
        <w:ind w:left="3960" w:hanging="180"/>
      </w:pPr>
    </w:lvl>
    <w:lvl w:ilvl="6" w:tplc="00B2F098">
      <w:start w:val="1"/>
      <w:numFmt w:val="decimal"/>
      <w:lvlText w:val="%7."/>
      <w:lvlJc w:val="left"/>
      <w:pPr>
        <w:ind w:left="4680" w:hanging="360"/>
      </w:pPr>
    </w:lvl>
    <w:lvl w:ilvl="7" w:tplc="A438AC5A">
      <w:start w:val="1"/>
      <w:numFmt w:val="lowerLetter"/>
      <w:lvlText w:val="%8."/>
      <w:lvlJc w:val="left"/>
      <w:pPr>
        <w:ind w:left="5400" w:hanging="360"/>
      </w:pPr>
    </w:lvl>
    <w:lvl w:ilvl="8" w:tplc="7D049596">
      <w:start w:val="1"/>
      <w:numFmt w:val="lowerRoman"/>
      <w:lvlText w:val="%9."/>
      <w:lvlJc w:val="right"/>
      <w:pPr>
        <w:ind w:left="6120" w:hanging="180"/>
      </w:pPr>
    </w:lvl>
  </w:abstractNum>
  <w:abstractNum w:abstractNumId="5" w15:restartNumberingAfterBreak="0">
    <w:nsid w:val="214454B2"/>
    <w:multiLevelType w:val="hybridMultilevel"/>
    <w:tmpl w:val="F586AB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A0133E1"/>
    <w:multiLevelType w:val="hybridMultilevel"/>
    <w:tmpl w:val="07A23B96"/>
    <w:lvl w:ilvl="0" w:tplc="69D46A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143E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8641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8416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C20E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AAE9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6E60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7048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14C5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B06C39"/>
    <w:multiLevelType w:val="hybridMultilevel"/>
    <w:tmpl w:val="4262254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D267AB0"/>
    <w:multiLevelType w:val="hybridMultilevel"/>
    <w:tmpl w:val="170EEA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C446C5B"/>
    <w:multiLevelType w:val="hybridMultilevel"/>
    <w:tmpl w:val="358206C0"/>
    <w:lvl w:ilvl="0" w:tplc="510A6D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BC1B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8612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AA47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1218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B27C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A0D8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BAF1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6633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D04389F"/>
    <w:multiLevelType w:val="hybridMultilevel"/>
    <w:tmpl w:val="D2328326"/>
    <w:lvl w:ilvl="0" w:tplc="080C0001">
      <w:start w:val="1"/>
      <w:numFmt w:val="bullet"/>
      <w:lvlText w:val=""/>
      <w:lvlJc w:val="left"/>
      <w:pPr>
        <w:ind w:left="3612" w:hanging="360"/>
      </w:pPr>
      <w:rPr>
        <w:rFonts w:ascii="Symbol" w:hAnsi="Symbol" w:hint="default"/>
      </w:rPr>
    </w:lvl>
    <w:lvl w:ilvl="1" w:tplc="080C0003" w:tentative="1">
      <w:start w:val="1"/>
      <w:numFmt w:val="bullet"/>
      <w:lvlText w:val="o"/>
      <w:lvlJc w:val="left"/>
      <w:pPr>
        <w:ind w:left="4332" w:hanging="360"/>
      </w:pPr>
      <w:rPr>
        <w:rFonts w:ascii="Courier New" w:hAnsi="Courier New" w:cs="Courier New" w:hint="default"/>
      </w:rPr>
    </w:lvl>
    <w:lvl w:ilvl="2" w:tplc="080C0005" w:tentative="1">
      <w:start w:val="1"/>
      <w:numFmt w:val="bullet"/>
      <w:lvlText w:val=""/>
      <w:lvlJc w:val="left"/>
      <w:pPr>
        <w:ind w:left="5052" w:hanging="360"/>
      </w:pPr>
      <w:rPr>
        <w:rFonts w:ascii="Wingdings" w:hAnsi="Wingdings" w:hint="default"/>
      </w:rPr>
    </w:lvl>
    <w:lvl w:ilvl="3" w:tplc="080C0001" w:tentative="1">
      <w:start w:val="1"/>
      <w:numFmt w:val="bullet"/>
      <w:lvlText w:val=""/>
      <w:lvlJc w:val="left"/>
      <w:pPr>
        <w:ind w:left="5772" w:hanging="360"/>
      </w:pPr>
      <w:rPr>
        <w:rFonts w:ascii="Symbol" w:hAnsi="Symbol" w:hint="default"/>
      </w:rPr>
    </w:lvl>
    <w:lvl w:ilvl="4" w:tplc="080C0003" w:tentative="1">
      <w:start w:val="1"/>
      <w:numFmt w:val="bullet"/>
      <w:lvlText w:val="o"/>
      <w:lvlJc w:val="left"/>
      <w:pPr>
        <w:ind w:left="6492" w:hanging="360"/>
      </w:pPr>
      <w:rPr>
        <w:rFonts w:ascii="Courier New" w:hAnsi="Courier New" w:cs="Courier New" w:hint="default"/>
      </w:rPr>
    </w:lvl>
    <w:lvl w:ilvl="5" w:tplc="080C0005" w:tentative="1">
      <w:start w:val="1"/>
      <w:numFmt w:val="bullet"/>
      <w:lvlText w:val=""/>
      <w:lvlJc w:val="left"/>
      <w:pPr>
        <w:ind w:left="7212" w:hanging="360"/>
      </w:pPr>
      <w:rPr>
        <w:rFonts w:ascii="Wingdings" w:hAnsi="Wingdings" w:hint="default"/>
      </w:rPr>
    </w:lvl>
    <w:lvl w:ilvl="6" w:tplc="080C0001" w:tentative="1">
      <w:start w:val="1"/>
      <w:numFmt w:val="bullet"/>
      <w:lvlText w:val=""/>
      <w:lvlJc w:val="left"/>
      <w:pPr>
        <w:ind w:left="7932" w:hanging="360"/>
      </w:pPr>
      <w:rPr>
        <w:rFonts w:ascii="Symbol" w:hAnsi="Symbol" w:hint="default"/>
      </w:rPr>
    </w:lvl>
    <w:lvl w:ilvl="7" w:tplc="080C0003" w:tentative="1">
      <w:start w:val="1"/>
      <w:numFmt w:val="bullet"/>
      <w:lvlText w:val="o"/>
      <w:lvlJc w:val="left"/>
      <w:pPr>
        <w:ind w:left="8652" w:hanging="360"/>
      </w:pPr>
      <w:rPr>
        <w:rFonts w:ascii="Courier New" w:hAnsi="Courier New" w:cs="Courier New" w:hint="default"/>
      </w:rPr>
    </w:lvl>
    <w:lvl w:ilvl="8" w:tplc="080C0005" w:tentative="1">
      <w:start w:val="1"/>
      <w:numFmt w:val="bullet"/>
      <w:lvlText w:val=""/>
      <w:lvlJc w:val="left"/>
      <w:pPr>
        <w:ind w:left="9372" w:hanging="360"/>
      </w:pPr>
      <w:rPr>
        <w:rFonts w:ascii="Wingdings" w:hAnsi="Wingdings" w:hint="default"/>
      </w:rPr>
    </w:lvl>
  </w:abstractNum>
  <w:abstractNum w:abstractNumId="11" w15:restartNumberingAfterBreak="0">
    <w:nsid w:val="5DFC6570"/>
    <w:multiLevelType w:val="hybridMultilevel"/>
    <w:tmpl w:val="7752EB34"/>
    <w:lvl w:ilvl="0" w:tplc="C64CFB44">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5226B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3EC99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023D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B49D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10365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4C1F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BA60F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4089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BFE099E"/>
    <w:multiLevelType w:val="hybridMultilevel"/>
    <w:tmpl w:val="6A26A99A"/>
    <w:lvl w:ilvl="0" w:tplc="09D6BF24">
      <w:start w:val="1"/>
      <w:numFmt w:val="bullet"/>
      <w:lvlText w:val=""/>
      <w:lvlJc w:val="left"/>
      <w:pPr>
        <w:ind w:left="720" w:hanging="360"/>
      </w:pPr>
      <w:rPr>
        <w:rFonts w:ascii="Symbol" w:hAnsi="Symbol" w:hint="default"/>
      </w:rPr>
    </w:lvl>
    <w:lvl w:ilvl="1" w:tplc="46466734">
      <w:start w:val="1"/>
      <w:numFmt w:val="bullet"/>
      <w:lvlText w:val="o"/>
      <w:lvlJc w:val="left"/>
      <w:pPr>
        <w:ind w:left="1440" w:hanging="360"/>
      </w:pPr>
      <w:rPr>
        <w:rFonts w:ascii="Courier New" w:hAnsi="Courier New" w:cs="Courier New" w:hint="default"/>
      </w:rPr>
    </w:lvl>
    <w:lvl w:ilvl="2" w:tplc="97029E90">
      <w:start w:val="1"/>
      <w:numFmt w:val="bullet"/>
      <w:lvlText w:val=""/>
      <w:lvlJc w:val="left"/>
      <w:pPr>
        <w:ind w:left="2160" w:hanging="360"/>
      </w:pPr>
      <w:rPr>
        <w:rFonts w:ascii="Wingdings" w:hAnsi="Wingdings" w:hint="default"/>
      </w:rPr>
    </w:lvl>
    <w:lvl w:ilvl="3" w:tplc="A958FE7C">
      <w:start w:val="1"/>
      <w:numFmt w:val="bullet"/>
      <w:lvlText w:val=""/>
      <w:lvlJc w:val="left"/>
      <w:pPr>
        <w:ind w:left="2880" w:hanging="360"/>
      </w:pPr>
      <w:rPr>
        <w:rFonts w:ascii="Symbol" w:hAnsi="Symbol" w:hint="default"/>
      </w:rPr>
    </w:lvl>
    <w:lvl w:ilvl="4" w:tplc="72F0D1CE">
      <w:start w:val="1"/>
      <w:numFmt w:val="bullet"/>
      <w:lvlText w:val="o"/>
      <w:lvlJc w:val="left"/>
      <w:pPr>
        <w:ind w:left="3600" w:hanging="360"/>
      </w:pPr>
      <w:rPr>
        <w:rFonts w:ascii="Courier New" w:hAnsi="Courier New" w:cs="Courier New" w:hint="default"/>
      </w:rPr>
    </w:lvl>
    <w:lvl w:ilvl="5" w:tplc="62DCECA8">
      <w:start w:val="1"/>
      <w:numFmt w:val="bullet"/>
      <w:lvlText w:val=""/>
      <w:lvlJc w:val="left"/>
      <w:pPr>
        <w:ind w:left="4320" w:hanging="360"/>
      </w:pPr>
      <w:rPr>
        <w:rFonts w:ascii="Wingdings" w:hAnsi="Wingdings" w:hint="default"/>
      </w:rPr>
    </w:lvl>
    <w:lvl w:ilvl="6" w:tplc="8F94C198">
      <w:start w:val="1"/>
      <w:numFmt w:val="bullet"/>
      <w:lvlText w:val=""/>
      <w:lvlJc w:val="left"/>
      <w:pPr>
        <w:ind w:left="5040" w:hanging="360"/>
      </w:pPr>
      <w:rPr>
        <w:rFonts w:ascii="Symbol" w:hAnsi="Symbol" w:hint="default"/>
      </w:rPr>
    </w:lvl>
    <w:lvl w:ilvl="7" w:tplc="6DB40EB2">
      <w:start w:val="1"/>
      <w:numFmt w:val="bullet"/>
      <w:lvlText w:val="o"/>
      <w:lvlJc w:val="left"/>
      <w:pPr>
        <w:ind w:left="5760" w:hanging="360"/>
      </w:pPr>
      <w:rPr>
        <w:rFonts w:ascii="Courier New" w:hAnsi="Courier New" w:cs="Courier New" w:hint="default"/>
      </w:rPr>
    </w:lvl>
    <w:lvl w:ilvl="8" w:tplc="0140475A">
      <w:start w:val="1"/>
      <w:numFmt w:val="bullet"/>
      <w:lvlText w:val=""/>
      <w:lvlJc w:val="left"/>
      <w:pPr>
        <w:ind w:left="6480" w:hanging="360"/>
      </w:pPr>
      <w:rPr>
        <w:rFonts w:ascii="Wingdings" w:hAnsi="Wingdings" w:hint="default"/>
      </w:rPr>
    </w:lvl>
  </w:abstractNum>
  <w:num w:numId="1" w16cid:durableId="1661425124">
    <w:abstractNumId w:val="1"/>
  </w:num>
  <w:num w:numId="2" w16cid:durableId="1911842465">
    <w:abstractNumId w:val="9"/>
  </w:num>
  <w:num w:numId="3" w16cid:durableId="1851750473">
    <w:abstractNumId w:val="11"/>
  </w:num>
  <w:num w:numId="4" w16cid:durableId="2015450087">
    <w:abstractNumId w:val="6"/>
  </w:num>
  <w:num w:numId="5" w16cid:durableId="1780493421">
    <w:abstractNumId w:val="3"/>
  </w:num>
  <w:num w:numId="6" w16cid:durableId="1537695559">
    <w:abstractNumId w:val="0"/>
  </w:num>
  <w:num w:numId="7" w16cid:durableId="335231429">
    <w:abstractNumId w:val="2"/>
  </w:num>
  <w:num w:numId="8" w16cid:durableId="237789993">
    <w:abstractNumId w:val="4"/>
  </w:num>
  <w:num w:numId="9" w16cid:durableId="1610892811">
    <w:abstractNumId w:val="12"/>
  </w:num>
  <w:num w:numId="10" w16cid:durableId="1868374690">
    <w:abstractNumId w:val="7"/>
  </w:num>
  <w:num w:numId="11" w16cid:durableId="375930542">
    <w:abstractNumId w:val="10"/>
  </w:num>
  <w:num w:numId="12" w16cid:durableId="1929122036">
    <w:abstractNumId w:val="5"/>
  </w:num>
  <w:num w:numId="13" w16cid:durableId="2059012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6C"/>
    <w:rsid w:val="00000870"/>
    <w:rsid w:val="00002550"/>
    <w:rsid w:val="00003AC7"/>
    <w:rsid w:val="00005043"/>
    <w:rsid w:val="000104A3"/>
    <w:rsid w:val="000129A3"/>
    <w:rsid w:val="0001356C"/>
    <w:rsid w:val="0001365E"/>
    <w:rsid w:val="0001706A"/>
    <w:rsid w:val="00017811"/>
    <w:rsid w:val="00023CC0"/>
    <w:rsid w:val="00035C51"/>
    <w:rsid w:val="00035EE3"/>
    <w:rsid w:val="00044A67"/>
    <w:rsid w:val="00045582"/>
    <w:rsid w:val="00047C1D"/>
    <w:rsid w:val="0005362F"/>
    <w:rsid w:val="00056D33"/>
    <w:rsid w:val="000610D3"/>
    <w:rsid w:val="0006586F"/>
    <w:rsid w:val="00066EDD"/>
    <w:rsid w:val="000730A2"/>
    <w:rsid w:val="00074D9A"/>
    <w:rsid w:val="00077B27"/>
    <w:rsid w:val="00084CE4"/>
    <w:rsid w:val="00091322"/>
    <w:rsid w:val="000A4BF6"/>
    <w:rsid w:val="000B16E8"/>
    <w:rsid w:val="000C0A55"/>
    <w:rsid w:val="000C0CDA"/>
    <w:rsid w:val="000C12B0"/>
    <w:rsid w:val="000C2EA4"/>
    <w:rsid w:val="000C4F13"/>
    <w:rsid w:val="000D14DA"/>
    <w:rsid w:val="000D4D15"/>
    <w:rsid w:val="000D536F"/>
    <w:rsid w:val="000D76DC"/>
    <w:rsid w:val="000D7B1A"/>
    <w:rsid w:val="000E00B7"/>
    <w:rsid w:val="000E072C"/>
    <w:rsid w:val="000E1E28"/>
    <w:rsid w:val="000E3CE1"/>
    <w:rsid w:val="000E4F51"/>
    <w:rsid w:val="000F1BCE"/>
    <w:rsid w:val="001005B9"/>
    <w:rsid w:val="00101CFA"/>
    <w:rsid w:val="0010428A"/>
    <w:rsid w:val="0011125C"/>
    <w:rsid w:val="00113969"/>
    <w:rsid w:val="001141A6"/>
    <w:rsid w:val="00120CAE"/>
    <w:rsid w:val="001218EA"/>
    <w:rsid w:val="00125FEF"/>
    <w:rsid w:val="001273EE"/>
    <w:rsid w:val="00130F26"/>
    <w:rsid w:val="00131727"/>
    <w:rsid w:val="00134444"/>
    <w:rsid w:val="00155CDD"/>
    <w:rsid w:val="001572D7"/>
    <w:rsid w:val="001710AD"/>
    <w:rsid w:val="00183965"/>
    <w:rsid w:val="00184594"/>
    <w:rsid w:val="00184B02"/>
    <w:rsid w:val="00185DD1"/>
    <w:rsid w:val="00196476"/>
    <w:rsid w:val="001A1DEA"/>
    <w:rsid w:val="001A4FDC"/>
    <w:rsid w:val="001A5712"/>
    <w:rsid w:val="001A5751"/>
    <w:rsid w:val="001A75EF"/>
    <w:rsid w:val="001A761C"/>
    <w:rsid w:val="001B1879"/>
    <w:rsid w:val="001B6157"/>
    <w:rsid w:val="001C5450"/>
    <w:rsid w:val="001C561E"/>
    <w:rsid w:val="001D75AF"/>
    <w:rsid w:val="001E1935"/>
    <w:rsid w:val="001E48E6"/>
    <w:rsid w:val="001E51A6"/>
    <w:rsid w:val="001F5B3E"/>
    <w:rsid w:val="002030AE"/>
    <w:rsid w:val="002052E5"/>
    <w:rsid w:val="00205E18"/>
    <w:rsid w:val="00210D32"/>
    <w:rsid w:val="00213067"/>
    <w:rsid w:val="002161A8"/>
    <w:rsid w:val="00216C5E"/>
    <w:rsid w:val="0022062C"/>
    <w:rsid w:val="00221A23"/>
    <w:rsid w:val="00221F9F"/>
    <w:rsid w:val="002273E1"/>
    <w:rsid w:val="00237B8D"/>
    <w:rsid w:val="0024161F"/>
    <w:rsid w:val="002427F6"/>
    <w:rsid w:val="002430B4"/>
    <w:rsid w:val="00245D0F"/>
    <w:rsid w:val="00246E31"/>
    <w:rsid w:val="00247C36"/>
    <w:rsid w:val="00250F24"/>
    <w:rsid w:val="002568E5"/>
    <w:rsid w:val="0026137F"/>
    <w:rsid w:val="0026479D"/>
    <w:rsid w:val="0026647B"/>
    <w:rsid w:val="0026753E"/>
    <w:rsid w:val="00271CB3"/>
    <w:rsid w:val="00274E2A"/>
    <w:rsid w:val="002809FA"/>
    <w:rsid w:val="00280E12"/>
    <w:rsid w:val="0028500C"/>
    <w:rsid w:val="00286517"/>
    <w:rsid w:val="00292393"/>
    <w:rsid w:val="00293B3E"/>
    <w:rsid w:val="00295AEE"/>
    <w:rsid w:val="002A2E17"/>
    <w:rsid w:val="002A4BA6"/>
    <w:rsid w:val="002A608D"/>
    <w:rsid w:val="002B2DC5"/>
    <w:rsid w:val="002B3A3A"/>
    <w:rsid w:val="002B4869"/>
    <w:rsid w:val="002B6C43"/>
    <w:rsid w:val="002C0F63"/>
    <w:rsid w:val="002C1BED"/>
    <w:rsid w:val="002C355C"/>
    <w:rsid w:val="002D21E1"/>
    <w:rsid w:val="002E6556"/>
    <w:rsid w:val="002E7076"/>
    <w:rsid w:val="002E7E05"/>
    <w:rsid w:val="002F554F"/>
    <w:rsid w:val="002F639A"/>
    <w:rsid w:val="00304EDE"/>
    <w:rsid w:val="003064E2"/>
    <w:rsid w:val="00310187"/>
    <w:rsid w:val="00316584"/>
    <w:rsid w:val="00320F32"/>
    <w:rsid w:val="00330900"/>
    <w:rsid w:val="00334B30"/>
    <w:rsid w:val="00334F0C"/>
    <w:rsid w:val="003356BA"/>
    <w:rsid w:val="00336D40"/>
    <w:rsid w:val="0034212F"/>
    <w:rsid w:val="00342658"/>
    <w:rsid w:val="003505F4"/>
    <w:rsid w:val="00350D35"/>
    <w:rsid w:val="00351915"/>
    <w:rsid w:val="00354958"/>
    <w:rsid w:val="003552D5"/>
    <w:rsid w:val="00361261"/>
    <w:rsid w:val="00363412"/>
    <w:rsid w:val="003638A1"/>
    <w:rsid w:val="003663FC"/>
    <w:rsid w:val="00370EFF"/>
    <w:rsid w:val="00386868"/>
    <w:rsid w:val="00386A33"/>
    <w:rsid w:val="003874F9"/>
    <w:rsid w:val="003924DB"/>
    <w:rsid w:val="003928B2"/>
    <w:rsid w:val="00392EF9"/>
    <w:rsid w:val="00394E31"/>
    <w:rsid w:val="00395BC8"/>
    <w:rsid w:val="00395F99"/>
    <w:rsid w:val="003A1BF0"/>
    <w:rsid w:val="003A4E2D"/>
    <w:rsid w:val="003B434E"/>
    <w:rsid w:val="003C0021"/>
    <w:rsid w:val="003C5CF7"/>
    <w:rsid w:val="003D5279"/>
    <w:rsid w:val="003D7E1F"/>
    <w:rsid w:val="003E6EB5"/>
    <w:rsid w:val="003E7337"/>
    <w:rsid w:val="003E75C8"/>
    <w:rsid w:val="003F227A"/>
    <w:rsid w:val="003F2821"/>
    <w:rsid w:val="003F3D0F"/>
    <w:rsid w:val="003F4853"/>
    <w:rsid w:val="00405162"/>
    <w:rsid w:val="004106F4"/>
    <w:rsid w:val="004209D3"/>
    <w:rsid w:val="00420A89"/>
    <w:rsid w:val="00420E6D"/>
    <w:rsid w:val="00422F52"/>
    <w:rsid w:val="00423FFE"/>
    <w:rsid w:val="004255F1"/>
    <w:rsid w:val="0043198F"/>
    <w:rsid w:val="00437399"/>
    <w:rsid w:val="004523BF"/>
    <w:rsid w:val="00452A23"/>
    <w:rsid w:val="00454F36"/>
    <w:rsid w:val="004557F0"/>
    <w:rsid w:val="004617D8"/>
    <w:rsid w:val="00462DCB"/>
    <w:rsid w:val="004661F2"/>
    <w:rsid w:val="00474326"/>
    <w:rsid w:val="00475612"/>
    <w:rsid w:val="00476AA0"/>
    <w:rsid w:val="00477B1D"/>
    <w:rsid w:val="004850C6"/>
    <w:rsid w:val="004859E9"/>
    <w:rsid w:val="004A64E4"/>
    <w:rsid w:val="004B4C41"/>
    <w:rsid w:val="004B69D8"/>
    <w:rsid w:val="004C084C"/>
    <w:rsid w:val="004C406A"/>
    <w:rsid w:val="004C64A2"/>
    <w:rsid w:val="004C67EE"/>
    <w:rsid w:val="004D5768"/>
    <w:rsid w:val="004E382D"/>
    <w:rsid w:val="004F64C6"/>
    <w:rsid w:val="00500B8C"/>
    <w:rsid w:val="00505576"/>
    <w:rsid w:val="00520D2C"/>
    <w:rsid w:val="00526286"/>
    <w:rsid w:val="00526C1A"/>
    <w:rsid w:val="00527009"/>
    <w:rsid w:val="005319BE"/>
    <w:rsid w:val="005334CD"/>
    <w:rsid w:val="005439D7"/>
    <w:rsid w:val="00550776"/>
    <w:rsid w:val="005515D6"/>
    <w:rsid w:val="00554D5F"/>
    <w:rsid w:val="00555FAA"/>
    <w:rsid w:val="0056103E"/>
    <w:rsid w:val="005636B7"/>
    <w:rsid w:val="00563C67"/>
    <w:rsid w:val="00574E2F"/>
    <w:rsid w:val="00580D7E"/>
    <w:rsid w:val="00581C5B"/>
    <w:rsid w:val="0058203C"/>
    <w:rsid w:val="00583516"/>
    <w:rsid w:val="005846D0"/>
    <w:rsid w:val="00585BE8"/>
    <w:rsid w:val="005873A6"/>
    <w:rsid w:val="00590D72"/>
    <w:rsid w:val="00593CBA"/>
    <w:rsid w:val="00594E67"/>
    <w:rsid w:val="00595BD8"/>
    <w:rsid w:val="00596C7D"/>
    <w:rsid w:val="0059766B"/>
    <w:rsid w:val="005A4FB3"/>
    <w:rsid w:val="005C2291"/>
    <w:rsid w:val="005C78FA"/>
    <w:rsid w:val="005D713F"/>
    <w:rsid w:val="005D7315"/>
    <w:rsid w:val="005F1AB4"/>
    <w:rsid w:val="005F1BC7"/>
    <w:rsid w:val="005F2EFA"/>
    <w:rsid w:val="005F5EEE"/>
    <w:rsid w:val="005F6438"/>
    <w:rsid w:val="005F6831"/>
    <w:rsid w:val="00603677"/>
    <w:rsid w:val="006040BB"/>
    <w:rsid w:val="00604623"/>
    <w:rsid w:val="00604FA7"/>
    <w:rsid w:val="0060672C"/>
    <w:rsid w:val="0061206C"/>
    <w:rsid w:val="0061584B"/>
    <w:rsid w:val="00620671"/>
    <w:rsid w:val="00631765"/>
    <w:rsid w:val="00632AB5"/>
    <w:rsid w:val="006629F3"/>
    <w:rsid w:val="00662B3F"/>
    <w:rsid w:val="006642A6"/>
    <w:rsid w:val="0066644B"/>
    <w:rsid w:val="0066665A"/>
    <w:rsid w:val="00672FC3"/>
    <w:rsid w:val="0067408D"/>
    <w:rsid w:val="00681B15"/>
    <w:rsid w:val="0069112F"/>
    <w:rsid w:val="006919C6"/>
    <w:rsid w:val="006922D7"/>
    <w:rsid w:val="0069634F"/>
    <w:rsid w:val="0069761A"/>
    <w:rsid w:val="006A01CD"/>
    <w:rsid w:val="006A51DE"/>
    <w:rsid w:val="006A7C20"/>
    <w:rsid w:val="006B02F1"/>
    <w:rsid w:val="006B1EEC"/>
    <w:rsid w:val="006B2CB0"/>
    <w:rsid w:val="006B5DE9"/>
    <w:rsid w:val="006C05BD"/>
    <w:rsid w:val="006C14C4"/>
    <w:rsid w:val="006C1F10"/>
    <w:rsid w:val="006C216C"/>
    <w:rsid w:val="006C5DBD"/>
    <w:rsid w:val="006C69CC"/>
    <w:rsid w:val="006C7838"/>
    <w:rsid w:val="006D698D"/>
    <w:rsid w:val="006E2609"/>
    <w:rsid w:val="006F2724"/>
    <w:rsid w:val="006F327E"/>
    <w:rsid w:val="00700145"/>
    <w:rsid w:val="007033BB"/>
    <w:rsid w:val="0071240C"/>
    <w:rsid w:val="0071460B"/>
    <w:rsid w:val="00720961"/>
    <w:rsid w:val="00727BE5"/>
    <w:rsid w:val="00730008"/>
    <w:rsid w:val="0073249B"/>
    <w:rsid w:val="0073434B"/>
    <w:rsid w:val="00742C3D"/>
    <w:rsid w:val="00744D06"/>
    <w:rsid w:val="00753035"/>
    <w:rsid w:val="00762653"/>
    <w:rsid w:val="00763683"/>
    <w:rsid w:val="0076584A"/>
    <w:rsid w:val="00767DB9"/>
    <w:rsid w:val="00772E76"/>
    <w:rsid w:val="00775202"/>
    <w:rsid w:val="00776404"/>
    <w:rsid w:val="007802B4"/>
    <w:rsid w:val="00782E28"/>
    <w:rsid w:val="00784FB2"/>
    <w:rsid w:val="007921F4"/>
    <w:rsid w:val="007957C5"/>
    <w:rsid w:val="007A2682"/>
    <w:rsid w:val="007A2D46"/>
    <w:rsid w:val="007C0CD8"/>
    <w:rsid w:val="007C1829"/>
    <w:rsid w:val="007C6282"/>
    <w:rsid w:val="007D5357"/>
    <w:rsid w:val="007D7484"/>
    <w:rsid w:val="007E0E58"/>
    <w:rsid w:val="007E0E67"/>
    <w:rsid w:val="007E1AF4"/>
    <w:rsid w:val="007E28D7"/>
    <w:rsid w:val="007F0583"/>
    <w:rsid w:val="00801234"/>
    <w:rsid w:val="0080313A"/>
    <w:rsid w:val="00806B55"/>
    <w:rsid w:val="0081208A"/>
    <w:rsid w:val="0081523A"/>
    <w:rsid w:val="0081622C"/>
    <w:rsid w:val="008330C6"/>
    <w:rsid w:val="00836266"/>
    <w:rsid w:val="00837A67"/>
    <w:rsid w:val="00843732"/>
    <w:rsid w:val="00852FF5"/>
    <w:rsid w:val="008534D8"/>
    <w:rsid w:val="008546D8"/>
    <w:rsid w:val="008552F8"/>
    <w:rsid w:val="00855BBB"/>
    <w:rsid w:val="00855F9F"/>
    <w:rsid w:val="0086296B"/>
    <w:rsid w:val="00866E29"/>
    <w:rsid w:val="00870A05"/>
    <w:rsid w:val="00871845"/>
    <w:rsid w:val="00871971"/>
    <w:rsid w:val="00873337"/>
    <w:rsid w:val="008807D8"/>
    <w:rsid w:val="00890BB4"/>
    <w:rsid w:val="008A5137"/>
    <w:rsid w:val="008A5624"/>
    <w:rsid w:val="008B54FB"/>
    <w:rsid w:val="008D4736"/>
    <w:rsid w:val="008D5146"/>
    <w:rsid w:val="008D5F63"/>
    <w:rsid w:val="008D7176"/>
    <w:rsid w:val="008E1DE5"/>
    <w:rsid w:val="008E235A"/>
    <w:rsid w:val="008E5B62"/>
    <w:rsid w:val="008E5DE4"/>
    <w:rsid w:val="008F47E1"/>
    <w:rsid w:val="009002B5"/>
    <w:rsid w:val="00900864"/>
    <w:rsid w:val="00901A6F"/>
    <w:rsid w:val="00906232"/>
    <w:rsid w:val="0090723F"/>
    <w:rsid w:val="00910BB5"/>
    <w:rsid w:val="00910D49"/>
    <w:rsid w:val="00915F0C"/>
    <w:rsid w:val="00921D4E"/>
    <w:rsid w:val="00922826"/>
    <w:rsid w:val="009244E2"/>
    <w:rsid w:val="0093367E"/>
    <w:rsid w:val="00933E3D"/>
    <w:rsid w:val="00937E73"/>
    <w:rsid w:val="00942691"/>
    <w:rsid w:val="00947A6C"/>
    <w:rsid w:val="00954A29"/>
    <w:rsid w:val="009560B7"/>
    <w:rsid w:val="00957F70"/>
    <w:rsid w:val="00965C78"/>
    <w:rsid w:val="00966E53"/>
    <w:rsid w:val="00970DA3"/>
    <w:rsid w:val="00973718"/>
    <w:rsid w:val="00981566"/>
    <w:rsid w:val="00983D6A"/>
    <w:rsid w:val="009917AC"/>
    <w:rsid w:val="00995F27"/>
    <w:rsid w:val="00996CB4"/>
    <w:rsid w:val="009A5783"/>
    <w:rsid w:val="009A737D"/>
    <w:rsid w:val="009B4C46"/>
    <w:rsid w:val="009B517D"/>
    <w:rsid w:val="009B643A"/>
    <w:rsid w:val="009C5C83"/>
    <w:rsid w:val="009C61D3"/>
    <w:rsid w:val="009C666B"/>
    <w:rsid w:val="009D13F9"/>
    <w:rsid w:val="009D1A4A"/>
    <w:rsid w:val="009D216C"/>
    <w:rsid w:val="009D33D5"/>
    <w:rsid w:val="009E0576"/>
    <w:rsid w:val="009E45B6"/>
    <w:rsid w:val="009E6F1B"/>
    <w:rsid w:val="009F3647"/>
    <w:rsid w:val="00A020F7"/>
    <w:rsid w:val="00A14431"/>
    <w:rsid w:val="00A177DC"/>
    <w:rsid w:val="00A22DB1"/>
    <w:rsid w:val="00A23AB4"/>
    <w:rsid w:val="00A31F5D"/>
    <w:rsid w:val="00A34E41"/>
    <w:rsid w:val="00A44225"/>
    <w:rsid w:val="00A44ACF"/>
    <w:rsid w:val="00A45E54"/>
    <w:rsid w:val="00A4680A"/>
    <w:rsid w:val="00A477D9"/>
    <w:rsid w:val="00A5199B"/>
    <w:rsid w:val="00A55068"/>
    <w:rsid w:val="00A71BEC"/>
    <w:rsid w:val="00A724DB"/>
    <w:rsid w:val="00A72D98"/>
    <w:rsid w:val="00A76CB9"/>
    <w:rsid w:val="00A84958"/>
    <w:rsid w:val="00A93EF7"/>
    <w:rsid w:val="00A94E98"/>
    <w:rsid w:val="00AA0121"/>
    <w:rsid w:val="00AA2258"/>
    <w:rsid w:val="00AA6573"/>
    <w:rsid w:val="00AB0ADC"/>
    <w:rsid w:val="00AB3F6C"/>
    <w:rsid w:val="00AB62C7"/>
    <w:rsid w:val="00AC6D7F"/>
    <w:rsid w:val="00AD641E"/>
    <w:rsid w:val="00AD76AA"/>
    <w:rsid w:val="00AE1E9B"/>
    <w:rsid w:val="00AE3271"/>
    <w:rsid w:val="00AE3802"/>
    <w:rsid w:val="00AE4E39"/>
    <w:rsid w:val="00AE6E08"/>
    <w:rsid w:val="00AE7549"/>
    <w:rsid w:val="00AF23F7"/>
    <w:rsid w:val="00AF67FB"/>
    <w:rsid w:val="00B07B55"/>
    <w:rsid w:val="00B15D96"/>
    <w:rsid w:val="00B211EF"/>
    <w:rsid w:val="00B2163F"/>
    <w:rsid w:val="00B31346"/>
    <w:rsid w:val="00B327E3"/>
    <w:rsid w:val="00B4561B"/>
    <w:rsid w:val="00B56CF8"/>
    <w:rsid w:val="00B6047D"/>
    <w:rsid w:val="00B651F4"/>
    <w:rsid w:val="00B72D80"/>
    <w:rsid w:val="00B7562C"/>
    <w:rsid w:val="00B822A8"/>
    <w:rsid w:val="00B87A56"/>
    <w:rsid w:val="00B93A91"/>
    <w:rsid w:val="00B94CDE"/>
    <w:rsid w:val="00BA1D2E"/>
    <w:rsid w:val="00BA4D81"/>
    <w:rsid w:val="00BB3A5C"/>
    <w:rsid w:val="00BB45F0"/>
    <w:rsid w:val="00BB5C27"/>
    <w:rsid w:val="00BC0636"/>
    <w:rsid w:val="00BC226C"/>
    <w:rsid w:val="00BD423A"/>
    <w:rsid w:val="00BE2608"/>
    <w:rsid w:val="00BF1AE1"/>
    <w:rsid w:val="00BF2B43"/>
    <w:rsid w:val="00BF5581"/>
    <w:rsid w:val="00BF67E2"/>
    <w:rsid w:val="00C02768"/>
    <w:rsid w:val="00C13AB6"/>
    <w:rsid w:val="00C21DC5"/>
    <w:rsid w:val="00C2589F"/>
    <w:rsid w:val="00C3243E"/>
    <w:rsid w:val="00C41379"/>
    <w:rsid w:val="00C454F5"/>
    <w:rsid w:val="00C54499"/>
    <w:rsid w:val="00C81C26"/>
    <w:rsid w:val="00C82BA7"/>
    <w:rsid w:val="00C82C84"/>
    <w:rsid w:val="00C93214"/>
    <w:rsid w:val="00CA12D8"/>
    <w:rsid w:val="00CA38B9"/>
    <w:rsid w:val="00CB5658"/>
    <w:rsid w:val="00CC331B"/>
    <w:rsid w:val="00CD0BD6"/>
    <w:rsid w:val="00CD5A82"/>
    <w:rsid w:val="00CE6C7E"/>
    <w:rsid w:val="00CF1363"/>
    <w:rsid w:val="00CF1A13"/>
    <w:rsid w:val="00D03999"/>
    <w:rsid w:val="00D044C3"/>
    <w:rsid w:val="00D05FD6"/>
    <w:rsid w:val="00D22AC3"/>
    <w:rsid w:val="00D25426"/>
    <w:rsid w:val="00D37057"/>
    <w:rsid w:val="00D54C04"/>
    <w:rsid w:val="00D566C4"/>
    <w:rsid w:val="00D60B55"/>
    <w:rsid w:val="00D70570"/>
    <w:rsid w:val="00D71144"/>
    <w:rsid w:val="00D71489"/>
    <w:rsid w:val="00D73CFA"/>
    <w:rsid w:val="00D76C8F"/>
    <w:rsid w:val="00D76E90"/>
    <w:rsid w:val="00D77DCC"/>
    <w:rsid w:val="00D822ED"/>
    <w:rsid w:val="00D8599C"/>
    <w:rsid w:val="00D87E29"/>
    <w:rsid w:val="00D91A03"/>
    <w:rsid w:val="00D924B2"/>
    <w:rsid w:val="00D924FB"/>
    <w:rsid w:val="00D96F00"/>
    <w:rsid w:val="00DA3E9C"/>
    <w:rsid w:val="00DB07AD"/>
    <w:rsid w:val="00DB1F58"/>
    <w:rsid w:val="00DB4B73"/>
    <w:rsid w:val="00DC3551"/>
    <w:rsid w:val="00DD0114"/>
    <w:rsid w:val="00DD06D1"/>
    <w:rsid w:val="00DD142B"/>
    <w:rsid w:val="00DD694F"/>
    <w:rsid w:val="00DE01A0"/>
    <w:rsid w:val="00DE2045"/>
    <w:rsid w:val="00DE46A9"/>
    <w:rsid w:val="00DF1468"/>
    <w:rsid w:val="00DF4D9E"/>
    <w:rsid w:val="00E00F63"/>
    <w:rsid w:val="00E030D7"/>
    <w:rsid w:val="00E04AA0"/>
    <w:rsid w:val="00E07099"/>
    <w:rsid w:val="00E11ADA"/>
    <w:rsid w:val="00E125F8"/>
    <w:rsid w:val="00E16A68"/>
    <w:rsid w:val="00E2085D"/>
    <w:rsid w:val="00E20EEF"/>
    <w:rsid w:val="00E257CF"/>
    <w:rsid w:val="00E30596"/>
    <w:rsid w:val="00E30C14"/>
    <w:rsid w:val="00E342BB"/>
    <w:rsid w:val="00E35439"/>
    <w:rsid w:val="00E424EB"/>
    <w:rsid w:val="00E44311"/>
    <w:rsid w:val="00E56D7C"/>
    <w:rsid w:val="00E6054A"/>
    <w:rsid w:val="00E62740"/>
    <w:rsid w:val="00E635BA"/>
    <w:rsid w:val="00E6575B"/>
    <w:rsid w:val="00E72169"/>
    <w:rsid w:val="00E726A3"/>
    <w:rsid w:val="00E7564A"/>
    <w:rsid w:val="00E837B1"/>
    <w:rsid w:val="00E964FE"/>
    <w:rsid w:val="00E9654F"/>
    <w:rsid w:val="00EA193E"/>
    <w:rsid w:val="00EA7385"/>
    <w:rsid w:val="00EB5CFE"/>
    <w:rsid w:val="00EB66F0"/>
    <w:rsid w:val="00EC24B3"/>
    <w:rsid w:val="00EC37B0"/>
    <w:rsid w:val="00EC3AF7"/>
    <w:rsid w:val="00EC5569"/>
    <w:rsid w:val="00EF28F9"/>
    <w:rsid w:val="00EF6A6A"/>
    <w:rsid w:val="00F01D0B"/>
    <w:rsid w:val="00F10A34"/>
    <w:rsid w:val="00F110AA"/>
    <w:rsid w:val="00F129D1"/>
    <w:rsid w:val="00F20AC4"/>
    <w:rsid w:val="00F212DD"/>
    <w:rsid w:val="00F3027A"/>
    <w:rsid w:val="00F32FB6"/>
    <w:rsid w:val="00F347CC"/>
    <w:rsid w:val="00F42258"/>
    <w:rsid w:val="00F435AF"/>
    <w:rsid w:val="00F47B7B"/>
    <w:rsid w:val="00F5303A"/>
    <w:rsid w:val="00F54422"/>
    <w:rsid w:val="00F550B2"/>
    <w:rsid w:val="00F55DEC"/>
    <w:rsid w:val="00F56026"/>
    <w:rsid w:val="00F665DD"/>
    <w:rsid w:val="00F71314"/>
    <w:rsid w:val="00F81DA4"/>
    <w:rsid w:val="00F95106"/>
    <w:rsid w:val="00FA186B"/>
    <w:rsid w:val="00FA24BD"/>
    <w:rsid w:val="00FA4C99"/>
    <w:rsid w:val="00FA6134"/>
    <w:rsid w:val="00FA6437"/>
    <w:rsid w:val="00FB3478"/>
    <w:rsid w:val="00FC25B8"/>
    <w:rsid w:val="00FC48CA"/>
    <w:rsid w:val="00FC5BBD"/>
    <w:rsid w:val="00FD0179"/>
    <w:rsid w:val="00FD3B3C"/>
    <w:rsid w:val="00FD7B44"/>
    <w:rsid w:val="00FE102C"/>
    <w:rsid w:val="00FE66AF"/>
    <w:rsid w:val="00FF29F9"/>
    <w:rsid w:val="00FF3720"/>
    <w:rsid w:val="00FF69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89DF"/>
  <w15:docId w15:val="{B2FBBAD0-0760-41F6-A575-5555A18E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0" w:line="259" w:lineRule="auto"/>
      <w:ind w:left="10" w:hanging="10"/>
      <w:outlineLvl w:val="0"/>
    </w:pPr>
    <w:rPr>
      <w:rFonts w:ascii="Arial" w:eastAsia="Arial" w:hAnsi="Arial" w:cs="Arial"/>
      <w:b/>
      <w:color w:val="004586"/>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4586"/>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2E6556"/>
    <w:pPr>
      <w:spacing w:after="0" w:line="240" w:lineRule="auto"/>
    </w:pPr>
    <w:rPr>
      <w:szCs w:val="20"/>
    </w:rPr>
  </w:style>
  <w:style w:type="character" w:customStyle="1" w:styleId="NotedebasdepageCar">
    <w:name w:val="Note de bas de page Car"/>
    <w:basedOn w:val="Policepardfaut"/>
    <w:link w:val="Notedebasdepage"/>
    <w:uiPriority w:val="99"/>
    <w:semiHidden/>
    <w:rsid w:val="002E6556"/>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2E6556"/>
    <w:rPr>
      <w:vertAlign w:val="superscript"/>
    </w:rPr>
  </w:style>
  <w:style w:type="character" w:styleId="Lienhypertexte">
    <w:name w:val="Hyperlink"/>
    <w:basedOn w:val="Policepardfaut"/>
    <w:uiPriority w:val="99"/>
    <w:unhideWhenUsed/>
    <w:rsid w:val="00866E29"/>
    <w:rPr>
      <w:color w:val="467886" w:themeColor="hyperlink"/>
      <w:u w:val="single"/>
    </w:rPr>
  </w:style>
  <w:style w:type="character" w:styleId="Mentionnonrsolue">
    <w:name w:val="Unresolved Mention"/>
    <w:basedOn w:val="Policepardfaut"/>
    <w:uiPriority w:val="99"/>
    <w:semiHidden/>
    <w:unhideWhenUsed/>
    <w:rsid w:val="00866E29"/>
    <w:rPr>
      <w:color w:val="605E5C"/>
      <w:shd w:val="clear" w:color="auto" w:fill="E1DFDD"/>
    </w:rPr>
  </w:style>
  <w:style w:type="paragraph" w:styleId="Paragraphedeliste">
    <w:name w:val="List Paragraph"/>
    <w:basedOn w:val="Normal"/>
    <w:uiPriority w:val="34"/>
    <w:qFormat/>
    <w:rsid w:val="000D536F"/>
    <w:pPr>
      <w:ind w:left="720"/>
      <w:contextualSpacing/>
    </w:pPr>
  </w:style>
  <w:style w:type="table" w:styleId="Grilledutableau">
    <w:name w:val="Table Grid"/>
    <w:basedOn w:val="TableauNormal"/>
    <w:uiPriority w:val="39"/>
    <w:rsid w:val="00D2542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kern w:val="0"/>
      <w:lang w:eastAsia="zh-CN"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suivivisit">
    <w:name w:val="FollowedHyperlink"/>
    <w:basedOn w:val="Policepardfaut"/>
    <w:uiPriority w:val="99"/>
    <w:semiHidden/>
    <w:unhideWhenUsed/>
    <w:rsid w:val="00BF5581"/>
    <w:rPr>
      <w:color w:val="96607D" w:themeColor="followedHyperlink"/>
      <w:u w:val="single"/>
    </w:rPr>
  </w:style>
  <w:style w:type="paragraph" w:styleId="Sansinterligne">
    <w:name w:val="No Spacing"/>
    <w:uiPriority w:val="1"/>
    <w:qFormat/>
    <w:rsid w:val="00A76CB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2"/>
      <w:szCs w:val="22"/>
      <w:lang w:eastAsia="en-US"/>
      <w14:ligatures w14:val="none"/>
    </w:rPr>
  </w:style>
  <w:style w:type="character" w:styleId="Marquedecommentaire">
    <w:name w:val="annotation reference"/>
    <w:basedOn w:val="Policepardfaut"/>
    <w:uiPriority w:val="99"/>
    <w:semiHidden/>
    <w:unhideWhenUsed/>
    <w:rsid w:val="000C4F13"/>
    <w:rPr>
      <w:sz w:val="16"/>
      <w:szCs w:val="16"/>
    </w:rPr>
  </w:style>
  <w:style w:type="paragraph" w:styleId="Commentaire">
    <w:name w:val="annotation text"/>
    <w:basedOn w:val="Normal"/>
    <w:link w:val="CommentaireCar"/>
    <w:uiPriority w:val="99"/>
    <w:unhideWhenUsed/>
    <w:rsid w:val="000C4F13"/>
    <w:pPr>
      <w:spacing w:line="240" w:lineRule="auto"/>
    </w:pPr>
    <w:rPr>
      <w:szCs w:val="20"/>
    </w:rPr>
  </w:style>
  <w:style w:type="character" w:customStyle="1" w:styleId="CommentaireCar">
    <w:name w:val="Commentaire Car"/>
    <w:basedOn w:val="Policepardfaut"/>
    <w:link w:val="Commentaire"/>
    <w:uiPriority w:val="99"/>
    <w:rsid w:val="000C4F13"/>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0C4F13"/>
    <w:rPr>
      <w:b/>
      <w:bCs/>
    </w:rPr>
  </w:style>
  <w:style w:type="character" w:customStyle="1" w:styleId="ObjetducommentaireCar">
    <w:name w:val="Objet du commentaire Car"/>
    <w:basedOn w:val="CommentaireCar"/>
    <w:link w:val="Objetducommentaire"/>
    <w:uiPriority w:val="99"/>
    <w:semiHidden/>
    <w:rsid w:val="000C4F13"/>
    <w:rPr>
      <w:rFonts w:ascii="Arial" w:eastAsia="Arial" w:hAnsi="Arial" w:cs="Arial"/>
      <w:b/>
      <w:bCs/>
      <w:color w:val="000000"/>
      <w:sz w:val="20"/>
      <w:szCs w:val="20"/>
    </w:rPr>
  </w:style>
  <w:style w:type="paragraph" w:styleId="Rvision">
    <w:name w:val="Revision"/>
    <w:hidden/>
    <w:uiPriority w:val="99"/>
    <w:semiHidden/>
    <w:rsid w:val="00C93214"/>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7639">
      <w:bodyDiv w:val="1"/>
      <w:marLeft w:val="0"/>
      <w:marRight w:val="0"/>
      <w:marTop w:val="0"/>
      <w:marBottom w:val="0"/>
      <w:divBdr>
        <w:top w:val="none" w:sz="0" w:space="0" w:color="auto"/>
        <w:left w:val="none" w:sz="0" w:space="0" w:color="auto"/>
        <w:bottom w:val="none" w:sz="0" w:space="0" w:color="auto"/>
        <w:right w:val="none" w:sz="0" w:space="0" w:color="auto"/>
      </w:divBdr>
    </w:div>
    <w:div w:id="199903671">
      <w:bodyDiv w:val="1"/>
      <w:marLeft w:val="0"/>
      <w:marRight w:val="0"/>
      <w:marTop w:val="0"/>
      <w:marBottom w:val="0"/>
      <w:divBdr>
        <w:top w:val="none" w:sz="0" w:space="0" w:color="auto"/>
        <w:left w:val="none" w:sz="0" w:space="0" w:color="auto"/>
        <w:bottom w:val="none" w:sz="0" w:space="0" w:color="auto"/>
        <w:right w:val="none" w:sz="0" w:space="0" w:color="auto"/>
      </w:divBdr>
    </w:div>
    <w:div w:id="475994393">
      <w:bodyDiv w:val="1"/>
      <w:marLeft w:val="0"/>
      <w:marRight w:val="0"/>
      <w:marTop w:val="0"/>
      <w:marBottom w:val="0"/>
      <w:divBdr>
        <w:top w:val="none" w:sz="0" w:space="0" w:color="auto"/>
        <w:left w:val="none" w:sz="0" w:space="0" w:color="auto"/>
        <w:bottom w:val="none" w:sz="0" w:space="0" w:color="auto"/>
        <w:right w:val="none" w:sz="0" w:space="0" w:color="auto"/>
      </w:divBdr>
    </w:div>
    <w:div w:id="672682988">
      <w:bodyDiv w:val="1"/>
      <w:marLeft w:val="0"/>
      <w:marRight w:val="0"/>
      <w:marTop w:val="0"/>
      <w:marBottom w:val="0"/>
      <w:divBdr>
        <w:top w:val="none" w:sz="0" w:space="0" w:color="auto"/>
        <w:left w:val="none" w:sz="0" w:space="0" w:color="auto"/>
        <w:bottom w:val="none" w:sz="0" w:space="0" w:color="auto"/>
        <w:right w:val="none" w:sz="0" w:space="0" w:color="auto"/>
      </w:divBdr>
    </w:div>
    <w:div w:id="925379555">
      <w:bodyDiv w:val="1"/>
      <w:marLeft w:val="0"/>
      <w:marRight w:val="0"/>
      <w:marTop w:val="0"/>
      <w:marBottom w:val="0"/>
      <w:divBdr>
        <w:top w:val="none" w:sz="0" w:space="0" w:color="auto"/>
        <w:left w:val="none" w:sz="0" w:space="0" w:color="auto"/>
        <w:bottom w:val="none" w:sz="0" w:space="0" w:color="auto"/>
        <w:right w:val="none" w:sz="0" w:space="0" w:color="auto"/>
      </w:divBdr>
    </w:div>
    <w:div w:id="958298476">
      <w:bodyDiv w:val="1"/>
      <w:marLeft w:val="0"/>
      <w:marRight w:val="0"/>
      <w:marTop w:val="0"/>
      <w:marBottom w:val="0"/>
      <w:divBdr>
        <w:top w:val="none" w:sz="0" w:space="0" w:color="auto"/>
        <w:left w:val="none" w:sz="0" w:space="0" w:color="auto"/>
        <w:bottom w:val="none" w:sz="0" w:space="0" w:color="auto"/>
        <w:right w:val="none" w:sz="0" w:space="0" w:color="auto"/>
      </w:divBdr>
    </w:div>
    <w:div w:id="1004823701">
      <w:bodyDiv w:val="1"/>
      <w:marLeft w:val="0"/>
      <w:marRight w:val="0"/>
      <w:marTop w:val="0"/>
      <w:marBottom w:val="0"/>
      <w:divBdr>
        <w:top w:val="none" w:sz="0" w:space="0" w:color="auto"/>
        <w:left w:val="none" w:sz="0" w:space="0" w:color="auto"/>
        <w:bottom w:val="none" w:sz="0" w:space="0" w:color="auto"/>
        <w:right w:val="none" w:sz="0" w:space="0" w:color="auto"/>
      </w:divBdr>
    </w:div>
    <w:div w:id="1110470237">
      <w:bodyDiv w:val="1"/>
      <w:marLeft w:val="0"/>
      <w:marRight w:val="0"/>
      <w:marTop w:val="0"/>
      <w:marBottom w:val="0"/>
      <w:divBdr>
        <w:top w:val="none" w:sz="0" w:space="0" w:color="auto"/>
        <w:left w:val="none" w:sz="0" w:space="0" w:color="auto"/>
        <w:bottom w:val="none" w:sz="0" w:space="0" w:color="auto"/>
        <w:right w:val="none" w:sz="0" w:space="0" w:color="auto"/>
      </w:divBdr>
    </w:div>
    <w:div w:id="1942058487">
      <w:bodyDiv w:val="1"/>
      <w:marLeft w:val="0"/>
      <w:marRight w:val="0"/>
      <w:marTop w:val="0"/>
      <w:marBottom w:val="0"/>
      <w:divBdr>
        <w:top w:val="none" w:sz="0" w:space="0" w:color="auto"/>
        <w:left w:val="none" w:sz="0" w:space="0" w:color="auto"/>
        <w:bottom w:val="none" w:sz="0" w:space="0" w:color="auto"/>
        <w:right w:val="none" w:sz="0" w:space="0" w:color="auto"/>
      </w:divBdr>
    </w:div>
    <w:div w:id="205595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noviris.brussels/sites/default/files/2024-11/Innovation%20Vouchers%20Start%20AI%20liste%20experts_0.pdf" TargetMode="External"/><Relationship Id="rId13" Type="http://schemas.openxmlformats.org/officeDocument/2006/relationships/hyperlink" Target="https://www.innoviris.brussels/fr/program/innovation-vouchers-start-a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ustain.brussels/fr_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uplicy@innoviris.brussels%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unding-request@innoviris.brussels%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nnoviris.brussels/fr/directives-comptables-generiques" TargetMode="External"/><Relationship Id="rId14" Type="http://schemas.openxmlformats.org/officeDocument/2006/relationships/hyperlink" Target="mailto:jduplicy@innoviris.brussels%2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PDF/?uri=CELEX:52014XC0731(01)&amp;fr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00E8-92EA-493B-9AEE-034112FA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2078</Words>
  <Characters>11433</Characters>
  <Application>Microsoft Office Word</Application>
  <DocSecurity>0</DocSecurity>
  <Lines>95</Lines>
  <Paragraphs>26</Paragraphs>
  <ScaleCrop>false</ScaleCrop>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cp:lastModifiedBy>Jonathan Duplicy</cp:lastModifiedBy>
  <cp:revision>32</cp:revision>
  <cp:lastPrinted>2024-10-21T09:09:00Z</cp:lastPrinted>
  <dcterms:created xsi:type="dcterms:W3CDTF">2024-11-13T11:15:00Z</dcterms:created>
  <dcterms:modified xsi:type="dcterms:W3CDTF">2024-12-20T10:15:00Z</dcterms:modified>
</cp:coreProperties>
</file>