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1A" w:rsidRPr="00560132" w:rsidRDefault="00560132" w:rsidP="006A761A">
      <w:pPr>
        <w:pStyle w:val="Titre1"/>
        <w:rPr>
          <w:rFonts w:ascii="Cambria" w:hAnsi="Cambria"/>
          <w:b/>
          <w:bCs/>
          <w:sz w:val="28"/>
          <w:szCs w:val="28"/>
          <w:lang w:val="en-GB"/>
        </w:rPr>
      </w:pPr>
      <w:bookmarkStart w:id="0" w:name="_GoBack"/>
      <w:r w:rsidRPr="00462978">
        <w:rPr>
          <w:rFonts w:ascii="Cambria" w:hAnsi="Cambria"/>
          <w:b/>
          <w:bCs/>
          <w:i/>
          <w:iCs/>
          <w:sz w:val="28"/>
          <w:szCs w:val="28"/>
          <w:lang w:val="en-GB"/>
        </w:rPr>
        <w:t xml:space="preserve">SPIN-OFF </w:t>
      </w:r>
      <w:proofErr w:type="gramStart"/>
      <w:r w:rsidRPr="00462978">
        <w:rPr>
          <w:rFonts w:ascii="Cambria" w:hAnsi="Cambria"/>
          <w:b/>
          <w:bCs/>
          <w:i/>
          <w:iCs/>
          <w:sz w:val="28"/>
          <w:szCs w:val="28"/>
          <w:lang w:val="en-GB"/>
        </w:rPr>
        <w:t>2021</w:t>
      </w:r>
      <w:r w:rsidRPr="00560132">
        <w:rPr>
          <w:rFonts w:ascii="Cambria" w:hAnsi="Cambria"/>
          <w:b/>
          <w:bCs/>
          <w:sz w:val="28"/>
          <w:szCs w:val="28"/>
          <w:lang w:val="en-GB"/>
        </w:rPr>
        <w:t> </w:t>
      </w:r>
      <w:bookmarkEnd w:id="0"/>
      <w:r w:rsidRPr="00560132">
        <w:rPr>
          <w:rFonts w:ascii="Cambria" w:hAnsi="Cambria"/>
          <w:b/>
          <w:bCs/>
          <w:sz w:val="28"/>
          <w:szCs w:val="28"/>
          <w:lang w:val="en-GB"/>
        </w:rPr>
        <w:t>:</w:t>
      </w:r>
      <w:proofErr w:type="gramEnd"/>
      <w:r w:rsidRPr="00560132">
        <w:rPr>
          <w:rFonts w:ascii="Cambria" w:hAnsi="Cambria"/>
          <w:b/>
          <w:bCs/>
          <w:sz w:val="28"/>
          <w:szCs w:val="28"/>
          <w:lang w:val="en-GB"/>
        </w:rPr>
        <w:t xml:space="preserve"> </w:t>
      </w:r>
      <w:r w:rsidR="006A761A" w:rsidRPr="00560132">
        <w:rPr>
          <w:rFonts w:ascii="Cambria" w:hAnsi="Cambria"/>
          <w:b/>
          <w:bCs/>
          <w:sz w:val="28"/>
          <w:szCs w:val="28"/>
          <w:lang w:val="en-GB"/>
        </w:rPr>
        <w:t>Budget/</w:t>
      </w:r>
      <w:r w:rsidR="000945AE" w:rsidRPr="00560132">
        <w:rPr>
          <w:rFonts w:ascii="Cambria" w:hAnsi="Cambria"/>
          <w:b/>
          <w:bCs/>
          <w:sz w:val="28"/>
          <w:szCs w:val="28"/>
          <w:lang w:val="en-GB"/>
        </w:rPr>
        <w:t>Admissibility of the expenses</w:t>
      </w:r>
    </w:p>
    <w:tbl>
      <w:tblPr>
        <w:tblStyle w:val="Grilledutableau"/>
        <w:tblW w:w="0" w:type="auto"/>
        <w:tblLook w:val="04A0" w:firstRow="1" w:lastRow="0" w:firstColumn="1" w:lastColumn="0" w:noHBand="0" w:noVBand="1"/>
      </w:tblPr>
      <w:tblGrid>
        <w:gridCol w:w="9062"/>
      </w:tblGrid>
      <w:tr w:rsidR="006A761A" w:rsidRPr="00560132" w:rsidTr="006A761A">
        <w:tc>
          <w:tcPr>
            <w:tcW w:w="9062" w:type="dxa"/>
          </w:tcPr>
          <w:p w:rsidR="00507A55" w:rsidRPr="00895340" w:rsidRDefault="00507A55" w:rsidP="00507A55">
            <w:pPr>
              <w:pStyle w:val="Contenudetableau"/>
              <w:spacing w:before="113"/>
              <w:rPr>
                <w:i/>
                <w:iCs/>
                <w:color w:val="1F3864" w:themeColor="accent1" w:themeShade="80"/>
                <w:sz w:val="20"/>
                <w:szCs w:val="20"/>
                <w:lang w:val="en-GB"/>
              </w:rPr>
            </w:pPr>
            <w:r w:rsidRPr="00895340">
              <w:rPr>
                <w:color w:val="1F3864" w:themeColor="accent1" w:themeShade="80"/>
                <w:sz w:val="20"/>
                <w:u w:val="single"/>
                <w:lang w:val="en-GB"/>
              </w:rPr>
              <w:t>Staff costs</w:t>
            </w:r>
          </w:p>
          <w:p w:rsidR="00507A55" w:rsidRPr="00895340" w:rsidRDefault="00507A55" w:rsidP="00507A55">
            <w:pPr>
              <w:pStyle w:val="Contenudetableau"/>
              <w:ind w:left="57"/>
              <w:rPr>
                <w:color w:val="1F3864" w:themeColor="accent1" w:themeShade="80"/>
                <w:sz w:val="20"/>
                <w:szCs w:val="20"/>
                <w:u w:val="single"/>
                <w:lang w:val="en-GB"/>
              </w:rPr>
            </w:pPr>
            <w:r w:rsidRPr="00895340">
              <w:rPr>
                <w:i/>
                <w:color w:val="1F3864" w:themeColor="accent1" w:themeShade="80"/>
                <w:sz w:val="20"/>
                <w:lang w:val="en-GB"/>
              </w:rPr>
              <w:t xml:space="preserve">These are all costs related to the staff (the researcher, the alter ego on the payroll and the part-time technical support staff). </w:t>
            </w:r>
          </w:p>
          <w:p w:rsidR="00507A55" w:rsidRPr="00895340" w:rsidRDefault="00507A55" w:rsidP="00507A55">
            <w:pPr>
              <w:pStyle w:val="Contenudetableau"/>
              <w:spacing w:before="113"/>
              <w:rPr>
                <w:color w:val="1F3864" w:themeColor="accent1" w:themeShade="80"/>
                <w:sz w:val="20"/>
                <w:szCs w:val="20"/>
                <w:u w:val="single"/>
                <w:lang w:val="en-GB"/>
              </w:rPr>
            </w:pPr>
            <w:r w:rsidRPr="00895340">
              <w:rPr>
                <w:color w:val="1F3864" w:themeColor="accent1" w:themeShade="80"/>
                <w:sz w:val="20"/>
                <w:u w:val="single"/>
                <w:lang w:val="en-GB"/>
              </w:rPr>
              <w:t xml:space="preserve">Costs related to the </w:t>
            </w:r>
            <w:r>
              <w:rPr>
                <w:color w:val="1F3864" w:themeColor="accent1" w:themeShade="80"/>
                <w:sz w:val="20"/>
                <w:u w:val="single"/>
                <w:lang w:val="en-GB"/>
              </w:rPr>
              <w:t>execution</w:t>
            </w:r>
            <w:r w:rsidRPr="00895340">
              <w:rPr>
                <w:color w:val="1F3864" w:themeColor="accent1" w:themeShade="80"/>
                <w:sz w:val="20"/>
                <w:u w:val="single"/>
                <w:lang w:val="en-GB"/>
              </w:rPr>
              <w:t xml:space="preserve"> of the technical objective</w:t>
            </w:r>
          </w:p>
          <w:p w:rsidR="00507A55" w:rsidRPr="00895340" w:rsidRDefault="00507A55" w:rsidP="00507A55">
            <w:pPr>
              <w:pStyle w:val="Contenudetableau"/>
              <w:ind w:left="57"/>
              <w:rPr>
                <w:i/>
                <w:iCs/>
                <w:color w:val="1F3864" w:themeColor="accent1" w:themeShade="80"/>
                <w:sz w:val="20"/>
                <w:szCs w:val="20"/>
                <w:lang w:val="en-GB"/>
              </w:rPr>
            </w:pPr>
          </w:p>
          <w:p w:rsidR="00507A55" w:rsidRPr="00895340" w:rsidRDefault="00507A55" w:rsidP="00507A55">
            <w:pPr>
              <w:pStyle w:val="Contenudetableau"/>
              <w:numPr>
                <w:ilvl w:val="0"/>
                <w:numId w:val="2"/>
              </w:numPr>
              <w:suppressAutoHyphens w:val="0"/>
              <w:autoSpaceDE w:val="0"/>
              <w:autoSpaceDN w:val="0"/>
              <w:adjustRightInd w:val="0"/>
              <w:ind w:left="454"/>
              <w:rPr>
                <w:i/>
                <w:color w:val="1F3864" w:themeColor="accent1" w:themeShade="80"/>
                <w:sz w:val="20"/>
                <w:szCs w:val="20"/>
                <w:lang w:val="en-GB"/>
              </w:rPr>
            </w:pPr>
            <w:r w:rsidRPr="00895340">
              <w:rPr>
                <w:color w:val="1F3864" w:themeColor="accent1" w:themeShade="80"/>
                <w:sz w:val="20"/>
                <w:u w:val="single"/>
                <w:lang w:val="en-GB"/>
              </w:rPr>
              <w:t>Costs of tools and equipment:</w:t>
            </w:r>
          </w:p>
          <w:p w:rsidR="00507A55" w:rsidRPr="00895340" w:rsidRDefault="00507A55" w:rsidP="00507A55">
            <w:pPr>
              <w:pStyle w:val="Contenudetableau"/>
              <w:suppressAutoHyphens w:val="0"/>
              <w:autoSpaceDE w:val="0"/>
              <w:autoSpaceDN w:val="0"/>
              <w:adjustRightInd w:val="0"/>
              <w:ind w:left="454"/>
              <w:rPr>
                <w:i/>
                <w:color w:val="1F3864" w:themeColor="accent1" w:themeShade="80"/>
                <w:sz w:val="20"/>
                <w:szCs w:val="20"/>
                <w:lang w:val="en-GB"/>
              </w:rPr>
            </w:pPr>
            <w:r w:rsidRPr="00895340">
              <w:rPr>
                <w:i/>
                <w:color w:val="1F3864" w:themeColor="accent1" w:themeShade="80"/>
                <w:sz w:val="20"/>
                <w:lang w:val="en-GB"/>
              </w:rPr>
              <w:t xml:space="preserve">These costs correspond to the </w:t>
            </w:r>
            <w:r>
              <w:rPr>
                <w:i/>
                <w:color w:val="1F3864" w:themeColor="accent1" w:themeShade="80"/>
                <w:sz w:val="20"/>
                <w:lang w:val="en-GB"/>
              </w:rPr>
              <w:t>depreciation</w:t>
            </w:r>
            <w:r w:rsidRPr="00895340">
              <w:rPr>
                <w:i/>
                <w:color w:val="1F3864" w:themeColor="accent1" w:themeShade="80"/>
                <w:sz w:val="20"/>
                <w:lang w:val="en-GB"/>
              </w:rPr>
              <w:t xml:space="preserve"> of instruments and equipment used for the project. </w:t>
            </w:r>
            <w:r>
              <w:rPr>
                <w:i/>
                <w:color w:val="1F3864" w:themeColor="accent1" w:themeShade="80"/>
                <w:sz w:val="20"/>
                <w:lang w:val="en-GB"/>
              </w:rPr>
              <w:t>If</w:t>
            </w:r>
            <w:r w:rsidRPr="00895340">
              <w:rPr>
                <w:i/>
                <w:color w:val="1F3864" w:themeColor="accent1" w:themeShade="80"/>
                <w:sz w:val="20"/>
                <w:lang w:val="en-GB"/>
              </w:rPr>
              <w:t xml:space="preserve"> instruments and equipment are not used for the project for their entire lifetime, only the depreciation costs which correspond to the duration of the project are authorised, calculated </w:t>
            </w:r>
            <w:proofErr w:type="gramStart"/>
            <w:r w:rsidRPr="00895340">
              <w:rPr>
                <w:i/>
                <w:color w:val="1F3864" w:themeColor="accent1" w:themeShade="80"/>
                <w:sz w:val="20"/>
                <w:lang w:val="en-GB"/>
              </w:rPr>
              <w:t>on the basis of</w:t>
            </w:r>
            <w:proofErr w:type="gramEnd"/>
            <w:r w:rsidRPr="00895340">
              <w:rPr>
                <w:i/>
                <w:color w:val="1F3864" w:themeColor="accent1" w:themeShade="80"/>
                <w:sz w:val="20"/>
                <w:lang w:val="en-GB"/>
              </w:rPr>
              <w:t xml:space="preserve"> generally applicable accounting principles.</w:t>
            </w:r>
          </w:p>
          <w:p w:rsidR="00507A55" w:rsidRPr="00895340" w:rsidRDefault="00507A55" w:rsidP="00507A55">
            <w:pPr>
              <w:autoSpaceDE w:val="0"/>
              <w:autoSpaceDN w:val="0"/>
              <w:adjustRightInd w:val="0"/>
              <w:rPr>
                <w:i/>
                <w:color w:val="1F3864" w:themeColor="accent1" w:themeShade="80"/>
                <w:sz w:val="20"/>
                <w:szCs w:val="20"/>
                <w:lang w:val="en-GB"/>
              </w:rPr>
            </w:pPr>
          </w:p>
          <w:p w:rsidR="00507A55" w:rsidRPr="00895340" w:rsidRDefault="00507A55" w:rsidP="00507A55">
            <w:pPr>
              <w:pStyle w:val="Contenudetableau"/>
              <w:ind w:left="454"/>
              <w:rPr>
                <w:i/>
                <w:color w:val="1F3864" w:themeColor="accent1" w:themeShade="80"/>
                <w:sz w:val="20"/>
                <w:szCs w:val="20"/>
                <w:lang w:val="en-GB"/>
              </w:rPr>
            </w:pPr>
            <w:r w:rsidRPr="00895340">
              <w:rPr>
                <w:i/>
                <w:color w:val="1F3864" w:themeColor="accent1" w:themeShade="80"/>
                <w:sz w:val="20"/>
                <w:lang w:val="en-GB"/>
              </w:rPr>
              <w:t xml:space="preserve">The </w:t>
            </w:r>
            <w:r>
              <w:rPr>
                <w:i/>
                <w:color w:val="1F3864" w:themeColor="accent1" w:themeShade="80"/>
                <w:sz w:val="20"/>
                <w:lang w:val="en-GB"/>
              </w:rPr>
              <w:t>depreciation</w:t>
            </w:r>
            <w:r w:rsidRPr="00895340">
              <w:rPr>
                <w:i/>
                <w:color w:val="1F3864" w:themeColor="accent1" w:themeShade="80"/>
                <w:sz w:val="20"/>
                <w:lang w:val="en-GB"/>
              </w:rPr>
              <w:t xml:space="preserve"> is calculated in proportion to the duration of the project and the percentage of use of the equipment. The whole is reduced to a period of three years for IT equipment and a period of five years for scientific and technical equipment.</w:t>
            </w:r>
          </w:p>
          <w:p w:rsidR="00507A55" w:rsidRPr="00895340" w:rsidRDefault="00507A55" w:rsidP="00507A55">
            <w:pPr>
              <w:pStyle w:val="Contenudetableau"/>
              <w:rPr>
                <w:i/>
                <w:color w:val="1F3864" w:themeColor="accent1" w:themeShade="80"/>
                <w:sz w:val="20"/>
                <w:szCs w:val="20"/>
                <w:highlight w:val="yellow"/>
                <w:lang w:val="en-GB"/>
              </w:rPr>
            </w:pPr>
          </w:p>
          <w:p w:rsidR="00507A55" w:rsidRPr="00895340" w:rsidRDefault="00507A55" w:rsidP="00507A55">
            <w:pPr>
              <w:pStyle w:val="Contenudetableau"/>
              <w:ind w:left="454"/>
              <w:rPr>
                <w:i/>
                <w:color w:val="1F3864" w:themeColor="accent1" w:themeShade="80"/>
                <w:sz w:val="20"/>
                <w:szCs w:val="20"/>
                <w:lang w:val="en-GB"/>
              </w:rPr>
            </w:pPr>
            <w:r w:rsidRPr="00895340">
              <w:rPr>
                <w:i/>
                <w:color w:val="1F3864" w:themeColor="accent1" w:themeShade="80"/>
                <w:sz w:val="20"/>
                <w:lang w:val="en-GB"/>
              </w:rPr>
              <w:t>Calculation:</w:t>
            </w:r>
          </w:p>
          <w:p w:rsidR="00507A55" w:rsidRPr="00895340" w:rsidRDefault="00507A55" w:rsidP="00507A55">
            <w:pPr>
              <w:pStyle w:val="Contenudetableau"/>
              <w:numPr>
                <w:ilvl w:val="0"/>
                <w:numId w:val="4"/>
              </w:numPr>
              <w:ind w:left="1310" w:hanging="425"/>
              <w:rPr>
                <w:i/>
                <w:color w:val="1F3864" w:themeColor="accent1" w:themeShade="80"/>
                <w:sz w:val="20"/>
                <w:szCs w:val="20"/>
                <w:lang w:val="en-GB"/>
              </w:rPr>
            </w:pPr>
            <w:r w:rsidRPr="00895340">
              <w:rPr>
                <w:i/>
                <w:color w:val="1F3864" w:themeColor="accent1" w:themeShade="80"/>
                <w:sz w:val="20"/>
                <w:lang w:val="en-GB"/>
              </w:rPr>
              <w:t>IT equipment: (Quantity * Unit cost * Number of months of use during the project * percentage of use) / 36</w:t>
            </w:r>
          </w:p>
          <w:p w:rsidR="00507A55" w:rsidRPr="00895340" w:rsidRDefault="00507A55" w:rsidP="00507A55">
            <w:pPr>
              <w:pStyle w:val="Contenudetableau"/>
              <w:numPr>
                <w:ilvl w:val="0"/>
                <w:numId w:val="4"/>
              </w:numPr>
              <w:ind w:left="1310" w:hanging="425"/>
              <w:rPr>
                <w:i/>
                <w:iCs/>
                <w:color w:val="1F3864" w:themeColor="accent1" w:themeShade="80"/>
                <w:sz w:val="20"/>
                <w:szCs w:val="20"/>
                <w:lang w:val="en-GB"/>
              </w:rPr>
            </w:pPr>
            <w:r w:rsidRPr="00895340">
              <w:rPr>
                <w:i/>
                <w:color w:val="1F3864" w:themeColor="accent1" w:themeShade="80"/>
                <w:sz w:val="20"/>
                <w:lang w:val="en-GB"/>
              </w:rPr>
              <w:t>Other equipment: (Quantity * Unit cost * Number of months of use during the project * percentage of use) / 60</w:t>
            </w:r>
          </w:p>
          <w:p w:rsidR="00507A55" w:rsidRPr="00895340" w:rsidRDefault="00507A55" w:rsidP="00507A55">
            <w:pPr>
              <w:pStyle w:val="Contenudetableau"/>
              <w:ind w:left="57"/>
              <w:rPr>
                <w:i/>
                <w:iCs/>
                <w:color w:val="1F3864" w:themeColor="accent1" w:themeShade="80"/>
                <w:sz w:val="20"/>
                <w:szCs w:val="20"/>
                <w:highlight w:val="yellow"/>
                <w:lang w:val="en-GB"/>
              </w:rPr>
            </w:pPr>
          </w:p>
          <w:p w:rsidR="00507A55" w:rsidRPr="00895340" w:rsidRDefault="00507A55" w:rsidP="00507A55">
            <w:pPr>
              <w:pStyle w:val="Contenudetableau"/>
              <w:numPr>
                <w:ilvl w:val="0"/>
                <w:numId w:val="2"/>
              </w:numPr>
              <w:rPr>
                <w:color w:val="1F3864" w:themeColor="accent1" w:themeShade="80"/>
                <w:sz w:val="20"/>
                <w:szCs w:val="20"/>
                <w:u w:val="single"/>
                <w:lang w:val="en-GB"/>
              </w:rPr>
            </w:pPr>
            <w:r w:rsidRPr="00895340">
              <w:rPr>
                <w:color w:val="1F3864" w:themeColor="accent1" w:themeShade="80"/>
                <w:sz w:val="20"/>
                <w:u w:val="single"/>
                <w:lang w:val="en-GB"/>
              </w:rPr>
              <w:t xml:space="preserve">Other operating costs </w:t>
            </w:r>
          </w:p>
          <w:p w:rsidR="00507A55" w:rsidRPr="00895340" w:rsidRDefault="00507A55" w:rsidP="00507A55">
            <w:pPr>
              <w:pStyle w:val="Contenudetableau"/>
              <w:spacing w:after="57"/>
              <w:ind w:left="454"/>
              <w:rPr>
                <w:i/>
                <w:iCs/>
                <w:color w:val="1F3864" w:themeColor="accent1" w:themeShade="80"/>
                <w:sz w:val="20"/>
                <w:szCs w:val="20"/>
                <w:lang w:val="en-GB"/>
              </w:rPr>
            </w:pPr>
            <w:r w:rsidRPr="00895340">
              <w:rPr>
                <w:i/>
                <w:color w:val="1F3864" w:themeColor="accent1" w:themeShade="80"/>
                <w:sz w:val="20"/>
                <w:lang w:val="en-GB"/>
              </w:rPr>
              <w:t xml:space="preserve">These costs cover the current expenditure relating to: </w:t>
            </w:r>
          </w:p>
          <w:p w:rsidR="00507A55" w:rsidRPr="00895340" w:rsidRDefault="00507A55" w:rsidP="00507A55">
            <w:pPr>
              <w:pStyle w:val="Contenudetableau"/>
              <w:numPr>
                <w:ilvl w:val="0"/>
                <w:numId w:val="1"/>
              </w:numPr>
              <w:ind w:left="1305" w:hanging="425"/>
              <w:rPr>
                <w:i/>
                <w:color w:val="1F3864" w:themeColor="accent1" w:themeShade="80"/>
                <w:sz w:val="20"/>
                <w:szCs w:val="20"/>
                <w:lang w:val="en-GB"/>
              </w:rPr>
            </w:pPr>
            <w:r w:rsidRPr="00895340">
              <w:rPr>
                <w:i/>
                <w:color w:val="1F3864" w:themeColor="accent1" w:themeShade="80"/>
                <w:sz w:val="20"/>
                <w:lang w:val="en-GB"/>
              </w:rPr>
              <w:t xml:space="preserve">IT costs (a laptop or fixed computer per person </w:t>
            </w:r>
            <w:r>
              <w:rPr>
                <w:i/>
                <w:color w:val="1F3864" w:themeColor="accent1" w:themeShade="80"/>
                <w:sz w:val="20"/>
                <w:lang w:val="en-GB"/>
              </w:rPr>
              <w:t>on the budget</w:t>
            </w:r>
            <w:r w:rsidRPr="00895340">
              <w:rPr>
                <w:i/>
                <w:color w:val="1F3864" w:themeColor="accent1" w:themeShade="80"/>
                <w:sz w:val="20"/>
                <w:lang w:val="en-GB"/>
              </w:rPr>
              <w:t>, software licences for the period of the project, calculation costs)</w:t>
            </w:r>
          </w:p>
          <w:p w:rsidR="00507A55" w:rsidRPr="00895340" w:rsidRDefault="00507A55" w:rsidP="00507A55">
            <w:pPr>
              <w:pStyle w:val="Contenudetableau"/>
              <w:numPr>
                <w:ilvl w:val="0"/>
                <w:numId w:val="1"/>
              </w:numPr>
              <w:ind w:left="1305" w:hanging="425"/>
              <w:rPr>
                <w:i/>
                <w:color w:val="1F3864" w:themeColor="accent1" w:themeShade="80"/>
                <w:sz w:val="20"/>
                <w:szCs w:val="20"/>
                <w:lang w:val="en-GB"/>
              </w:rPr>
            </w:pPr>
            <w:r w:rsidRPr="00895340">
              <w:rPr>
                <w:i/>
                <w:color w:val="1F3864" w:themeColor="accent1" w:themeShade="80"/>
                <w:sz w:val="20"/>
                <w:lang w:val="en-GB"/>
              </w:rPr>
              <w:t>Minor scientific and technical equipment</w:t>
            </w:r>
          </w:p>
          <w:p w:rsidR="00507A55" w:rsidRPr="00895340" w:rsidRDefault="00507A55" w:rsidP="00507A55">
            <w:pPr>
              <w:pStyle w:val="Contenudetableau"/>
              <w:numPr>
                <w:ilvl w:val="0"/>
                <w:numId w:val="1"/>
              </w:numPr>
              <w:ind w:left="1305" w:hanging="425"/>
              <w:rPr>
                <w:i/>
                <w:color w:val="1F3864" w:themeColor="accent1" w:themeShade="80"/>
                <w:sz w:val="20"/>
                <w:szCs w:val="20"/>
                <w:lang w:val="en-GB"/>
              </w:rPr>
            </w:pPr>
            <w:proofErr w:type="spellStart"/>
            <w:r>
              <w:rPr>
                <w:i/>
                <w:color w:val="1F3864" w:themeColor="accent1" w:themeShade="80"/>
                <w:sz w:val="20"/>
                <w:lang w:val="en-GB"/>
              </w:rPr>
              <w:t>Consummables</w:t>
            </w:r>
            <w:proofErr w:type="spellEnd"/>
            <w:r w:rsidRPr="00895340">
              <w:rPr>
                <w:i/>
                <w:color w:val="1F3864" w:themeColor="accent1" w:themeShade="80"/>
                <w:sz w:val="20"/>
                <w:lang w:val="en-GB"/>
              </w:rPr>
              <w:t xml:space="preserve"> (chemical products, materials)</w:t>
            </w:r>
          </w:p>
          <w:p w:rsidR="00507A55" w:rsidRPr="00895340" w:rsidRDefault="00507A55" w:rsidP="00507A55">
            <w:pPr>
              <w:pStyle w:val="Contenudetableau"/>
              <w:numPr>
                <w:ilvl w:val="0"/>
                <w:numId w:val="1"/>
              </w:numPr>
              <w:ind w:left="1305" w:hanging="425"/>
              <w:rPr>
                <w:i/>
                <w:color w:val="1F3864" w:themeColor="accent1" w:themeShade="80"/>
                <w:sz w:val="20"/>
                <w:szCs w:val="20"/>
                <w:lang w:val="en-GB"/>
              </w:rPr>
            </w:pPr>
            <w:r w:rsidRPr="00895340">
              <w:rPr>
                <w:i/>
                <w:color w:val="1F3864" w:themeColor="accent1" w:themeShade="80"/>
                <w:sz w:val="20"/>
                <w:lang w:val="en-GB"/>
              </w:rPr>
              <w:t>Books and documentation</w:t>
            </w:r>
          </w:p>
          <w:p w:rsidR="00507A55" w:rsidRPr="00895340" w:rsidRDefault="00507A55" w:rsidP="00507A55">
            <w:pPr>
              <w:pStyle w:val="Contenudetableau"/>
              <w:numPr>
                <w:ilvl w:val="0"/>
                <w:numId w:val="1"/>
              </w:numPr>
              <w:ind w:left="1305" w:hanging="425"/>
              <w:rPr>
                <w:i/>
                <w:color w:val="1F3864" w:themeColor="accent1" w:themeShade="80"/>
                <w:sz w:val="20"/>
                <w:szCs w:val="20"/>
                <w:lang w:val="en-GB"/>
              </w:rPr>
            </w:pPr>
            <w:r>
              <w:rPr>
                <w:i/>
                <w:color w:val="1F3864" w:themeColor="accent1" w:themeShade="80"/>
                <w:sz w:val="20"/>
                <w:lang w:val="en-GB"/>
              </w:rPr>
              <w:t xml:space="preserve">Missions </w:t>
            </w:r>
            <w:proofErr w:type="spellStart"/>
            <w:r>
              <w:rPr>
                <w:i/>
                <w:color w:val="1F3864" w:themeColor="accent1" w:themeShade="80"/>
                <w:sz w:val="20"/>
                <w:lang w:val="en-GB"/>
              </w:rPr>
              <w:t>expenses</w:t>
            </w:r>
            <w:r w:rsidRPr="00895340">
              <w:rPr>
                <w:i/>
                <w:color w:val="1F3864" w:themeColor="accent1" w:themeShade="80"/>
                <w:sz w:val="20"/>
                <w:lang w:val="en-GB"/>
              </w:rPr>
              <w:t>in</w:t>
            </w:r>
            <w:proofErr w:type="spellEnd"/>
            <w:r w:rsidRPr="00895340">
              <w:rPr>
                <w:i/>
                <w:color w:val="1F3864" w:themeColor="accent1" w:themeShade="80"/>
                <w:sz w:val="20"/>
                <w:lang w:val="en-GB"/>
              </w:rPr>
              <w:t xml:space="preserve"> Belgium or abroad (seminars, </w:t>
            </w:r>
            <w:proofErr w:type="gramStart"/>
            <w:r w:rsidRPr="00895340">
              <w:rPr>
                <w:i/>
                <w:color w:val="1F3864" w:themeColor="accent1" w:themeShade="80"/>
                <w:sz w:val="20"/>
                <w:lang w:val="en-GB"/>
              </w:rPr>
              <w:t>conferences,  one</w:t>
            </w:r>
            <w:proofErr w:type="gramEnd"/>
            <w:r w:rsidRPr="00895340">
              <w:rPr>
                <w:i/>
                <w:color w:val="1F3864" w:themeColor="accent1" w:themeShade="80"/>
                <w:sz w:val="20"/>
                <w:lang w:val="en-GB"/>
              </w:rPr>
              <w:t xml:space="preserve">-off technical training, travel, rental of a car used in the context of technical approval). </w:t>
            </w:r>
          </w:p>
          <w:p w:rsidR="00507A55" w:rsidRPr="00895340" w:rsidRDefault="00507A55" w:rsidP="00507A55">
            <w:pPr>
              <w:pStyle w:val="Contenudetableau"/>
              <w:numPr>
                <w:ilvl w:val="0"/>
                <w:numId w:val="1"/>
              </w:numPr>
              <w:ind w:left="1305" w:hanging="425"/>
              <w:rPr>
                <w:i/>
                <w:color w:val="1F3864" w:themeColor="accent1" w:themeShade="80"/>
                <w:sz w:val="20"/>
                <w:szCs w:val="20"/>
                <w:lang w:val="en-GB"/>
              </w:rPr>
            </w:pPr>
            <w:r w:rsidRPr="00895340">
              <w:rPr>
                <w:i/>
                <w:color w:val="1F3864" w:themeColor="accent1" w:themeShade="80"/>
                <w:sz w:val="20"/>
                <w:lang w:val="en-GB"/>
              </w:rPr>
              <w:t xml:space="preserve">Miscellaneous (costs of scientific or commercial meetings with external persons of the beneficiary or of the team, photocopies </w:t>
            </w:r>
            <w:r>
              <w:rPr>
                <w:i/>
                <w:color w:val="1F3864" w:themeColor="accent1" w:themeShade="80"/>
                <w:sz w:val="20"/>
                <w:lang w:val="en-GB"/>
              </w:rPr>
              <w:t xml:space="preserve">done </w:t>
            </w:r>
            <w:r w:rsidRPr="00895340">
              <w:rPr>
                <w:i/>
                <w:color w:val="1F3864" w:themeColor="accent1" w:themeShade="80"/>
                <w:sz w:val="20"/>
                <w:lang w:val="en-GB"/>
              </w:rPr>
              <w:t>outside</w:t>
            </w:r>
            <w:r>
              <w:rPr>
                <w:i/>
                <w:color w:val="1F3864" w:themeColor="accent1" w:themeShade="80"/>
                <w:sz w:val="20"/>
                <w:lang w:val="en-GB"/>
              </w:rPr>
              <w:t xml:space="preserve"> of</w:t>
            </w:r>
            <w:r w:rsidRPr="00895340">
              <w:rPr>
                <w:i/>
                <w:color w:val="1F3864" w:themeColor="accent1" w:themeShade="80"/>
                <w:sz w:val="20"/>
                <w:lang w:val="en-GB"/>
              </w:rPr>
              <w:t xml:space="preserve"> the institution, student jobs, etc.)</w:t>
            </w:r>
          </w:p>
          <w:p w:rsidR="00507A55" w:rsidRPr="00895340" w:rsidRDefault="00507A55" w:rsidP="00507A55">
            <w:pPr>
              <w:pStyle w:val="Contenudetableau"/>
              <w:ind w:left="454"/>
              <w:rPr>
                <w:color w:val="1F3864" w:themeColor="accent1" w:themeShade="80"/>
                <w:sz w:val="20"/>
                <w:szCs w:val="20"/>
                <w:lang w:val="en-GB"/>
              </w:rPr>
            </w:pPr>
            <w:r w:rsidRPr="00895340">
              <w:rPr>
                <w:i/>
                <w:color w:val="1F3864" w:themeColor="accent1" w:themeShade="80"/>
                <w:sz w:val="20"/>
                <w:lang w:val="en-GB"/>
              </w:rPr>
              <w:t xml:space="preserve">Clarify all budgetary sub-items (unit cost * quantity). </w:t>
            </w:r>
          </w:p>
          <w:p w:rsidR="00507A55" w:rsidRPr="00895340" w:rsidRDefault="00507A55" w:rsidP="00507A55">
            <w:pPr>
              <w:pStyle w:val="Contenudetableau"/>
              <w:ind w:left="1080"/>
              <w:rPr>
                <w:i/>
                <w:color w:val="1F3864" w:themeColor="accent1" w:themeShade="80"/>
                <w:sz w:val="20"/>
                <w:szCs w:val="20"/>
                <w:lang w:val="en-GB"/>
              </w:rPr>
            </w:pPr>
          </w:p>
          <w:p w:rsidR="00507A55" w:rsidRPr="00895340" w:rsidRDefault="00507A55" w:rsidP="00507A55">
            <w:pPr>
              <w:pStyle w:val="Contenudetableau"/>
              <w:numPr>
                <w:ilvl w:val="0"/>
                <w:numId w:val="2"/>
              </w:numPr>
              <w:rPr>
                <w:i/>
                <w:color w:val="1F3864" w:themeColor="accent1" w:themeShade="80"/>
                <w:sz w:val="20"/>
                <w:szCs w:val="20"/>
                <w:u w:val="single"/>
                <w:lang w:val="en-GB"/>
              </w:rPr>
            </w:pPr>
            <w:r w:rsidRPr="00895340">
              <w:rPr>
                <w:color w:val="1F3864" w:themeColor="accent1" w:themeShade="80"/>
                <w:sz w:val="20"/>
                <w:u w:val="single"/>
                <w:lang w:val="en-GB"/>
              </w:rPr>
              <w:t>The costs of contractual research, knowledge and patents purchased or licensed from external sources under the condition of full competition as well as the costs of consultancy and similar services used solely for the purposes of the project.</w:t>
            </w:r>
          </w:p>
          <w:p w:rsidR="00507A55" w:rsidRPr="00895340" w:rsidRDefault="00507A55" w:rsidP="00507A55">
            <w:pPr>
              <w:pStyle w:val="Contenudetableau"/>
              <w:ind w:left="57"/>
              <w:rPr>
                <w:color w:val="1F3864" w:themeColor="accent1" w:themeShade="80"/>
                <w:sz w:val="20"/>
                <w:szCs w:val="20"/>
                <w:highlight w:val="yellow"/>
                <w:u w:val="single"/>
                <w:lang w:val="en-GB"/>
              </w:rPr>
            </w:pPr>
          </w:p>
          <w:p w:rsidR="00507A55" w:rsidRPr="00895340" w:rsidRDefault="00507A55" w:rsidP="00507A55">
            <w:pPr>
              <w:pStyle w:val="Contenudetableau"/>
              <w:ind w:left="57"/>
              <w:rPr>
                <w:i/>
                <w:color w:val="1F3864" w:themeColor="accent1" w:themeShade="80"/>
                <w:sz w:val="20"/>
                <w:szCs w:val="20"/>
                <w:lang w:val="en-GB"/>
              </w:rPr>
            </w:pPr>
            <w:r w:rsidRPr="00895340">
              <w:rPr>
                <w:color w:val="1F3864" w:themeColor="accent1" w:themeShade="80"/>
                <w:sz w:val="20"/>
                <w:u w:val="single"/>
                <w:lang w:val="en-GB"/>
              </w:rPr>
              <w:t>General costs</w:t>
            </w:r>
            <w:r w:rsidRPr="00895340">
              <w:rPr>
                <w:color w:val="1F3864" w:themeColor="accent1" w:themeShade="80"/>
                <w:sz w:val="20"/>
                <w:szCs w:val="20"/>
                <w:lang w:val="en-GB"/>
              </w:rPr>
              <w:t xml:space="preserve">: </w:t>
            </w:r>
            <w:r w:rsidRPr="00895340">
              <w:rPr>
                <w:i/>
                <w:color w:val="1F3864" w:themeColor="accent1" w:themeShade="80"/>
                <w:sz w:val="20"/>
                <w:szCs w:val="20"/>
                <w:lang w:val="en-GB"/>
              </w:rPr>
              <w:t>This is a lump sum to cover the additional costs directly linked to the implementation of the project (secretariat, accounting, telecommunications). It is a lump sum of maximum 10% of the sum of the other operating costs (2) and the staff costs for employees (1).</w:t>
            </w:r>
          </w:p>
          <w:p w:rsidR="00507A55" w:rsidRPr="00895340" w:rsidRDefault="00507A55" w:rsidP="00507A55">
            <w:pPr>
              <w:pStyle w:val="Contenudetableau"/>
              <w:ind w:left="57"/>
              <w:rPr>
                <w:i/>
                <w:color w:val="1F3864" w:themeColor="accent1" w:themeShade="80"/>
                <w:sz w:val="20"/>
                <w:szCs w:val="20"/>
                <w:highlight w:val="yellow"/>
                <w:lang w:val="en-GB"/>
              </w:rPr>
            </w:pPr>
          </w:p>
          <w:p w:rsidR="00507A55" w:rsidRPr="00895340" w:rsidRDefault="00507A55" w:rsidP="00507A55">
            <w:pPr>
              <w:pStyle w:val="Contenudetableau"/>
              <w:ind w:left="57"/>
              <w:rPr>
                <w:i/>
                <w:color w:val="1F3864" w:themeColor="accent1" w:themeShade="80"/>
                <w:sz w:val="20"/>
                <w:szCs w:val="20"/>
                <w:lang w:val="en-GB"/>
              </w:rPr>
            </w:pPr>
            <w:r w:rsidRPr="00895340">
              <w:rPr>
                <w:color w:val="1F3864" w:themeColor="accent1" w:themeShade="80"/>
                <w:sz w:val="20"/>
                <w:u w:val="single"/>
                <w:lang w:val="en-GB"/>
              </w:rPr>
              <w:t>Training costs: (max €4,000/2 years)</w:t>
            </w:r>
          </w:p>
          <w:p w:rsidR="00507A55" w:rsidRPr="00895340" w:rsidRDefault="00507A55" w:rsidP="00507A55">
            <w:pPr>
              <w:pStyle w:val="Contenudetableau"/>
              <w:ind w:left="57"/>
              <w:rPr>
                <w:i/>
                <w:color w:val="1F3864" w:themeColor="accent1" w:themeShade="80"/>
                <w:sz w:val="20"/>
                <w:szCs w:val="20"/>
                <w:lang w:val="en-GB"/>
              </w:rPr>
            </w:pPr>
            <w:r w:rsidRPr="00895340">
              <w:rPr>
                <w:i/>
                <w:color w:val="1F3864" w:themeColor="accent1" w:themeShade="80"/>
                <w:sz w:val="20"/>
                <w:lang w:val="en-GB"/>
              </w:rPr>
              <w:t xml:space="preserve">These costs cover the registration costs of the researcher-entrepreneur for a training course in business management and </w:t>
            </w:r>
            <w:proofErr w:type="spellStart"/>
            <w:r>
              <w:rPr>
                <w:i/>
                <w:color w:val="1F3864" w:themeColor="accent1" w:themeShade="80"/>
                <w:sz w:val="20"/>
                <w:lang w:val="en-GB"/>
              </w:rPr>
              <w:t>entrepreneuship</w:t>
            </w:r>
            <w:proofErr w:type="spellEnd"/>
            <w:r w:rsidRPr="00895340">
              <w:rPr>
                <w:i/>
                <w:color w:val="1F3864" w:themeColor="accent1" w:themeShade="80"/>
                <w:sz w:val="20"/>
                <w:lang w:val="en-GB"/>
              </w:rPr>
              <w:t xml:space="preserve"> (e.g. Solvay Business School, ICHEC, Louvain School of Management, etc.). Any other type of training is not </w:t>
            </w:r>
            <w:r>
              <w:rPr>
                <w:i/>
                <w:color w:val="1F3864" w:themeColor="accent1" w:themeShade="80"/>
                <w:sz w:val="20"/>
                <w:lang w:val="en-GB"/>
              </w:rPr>
              <w:t>allowed</w:t>
            </w:r>
            <w:r w:rsidRPr="00895340">
              <w:rPr>
                <w:i/>
                <w:color w:val="1F3864" w:themeColor="accent1" w:themeShade="80"/>
                <w:sz w:val="20"/>
                <w:lang w:val="en-GB"/>
              </w:rPr>
              <w:t xml:space="preserve"> in this section. </w:t>
            </w:r>
          </w:p>
          <w:p w:rsidR="00507A55" w:rsidRPr="00895340" w:rsidRDefault="00507A55" w:rsidP="00507A55">
            <w:pPr>
              <w:pStyle w:val="Contenudetableau"/>
              <w:ind w:left="57"/>
              <w:rPr>
                <w:color w:val="1F3864" w:themeColor="accent1" w:themeShade="80"/>
                <w:sz w:val="20"/>
                <w:szCs w:val="20"/>
                <w:highlight w:val="yellow"/>
                <w:u w:val="single"/>
                <w:lang w:val="en-GB"/>
              </w:rPr>
            </w:pPr>
          </w:p>
          <w:p w:rsidR="00507A55" w:rsidRPr="00895340" w:rsidRDefault="00507A55" w:rsidP="00507A55">
            <w:pPr>
              <w:pStyle w:val="Contenudetableau"/>
              <w:ind w:left="57"/>
              <w:rPr>
                <w:color w:val="1F3864" w:themeColor="accent1" w:themeShade="80"/>
                <w:sz w:val="20"/>
                <w:szCs w:val="20"/>
                <w:u w:val="single"/>
                <w:lang w:val="en-GB"/>
              </w:rPr>
            </w:pPr>
            <w:r w:rsidRPr="00895340">
              <w:rPr>
                <w:color w:val="1F3864" w:themeColor="accent1" w:themeShade="80"/>
                <w:sz w:val="20"/>
                <w:u w:val="single"/>
                <w:lang w:val="en-GB"/>
              </w:rPr>
              <w:t>Valorisation costs:</w:t>
            </w:r>
          </w:p>
          <w:p w:rsidR="00507A55" w:rsidRPr="00895340" w:rsidRDefault="00507A55" w:rsidP="00507A55">
            <w:pPr>
              <w:pStyle w:val="Contenudetableau"/>
              <w:ind w:left="57"/>
              <w:rPr>
                <w:color w:val="1F3864" w:themeColor="accent1" w:themeShade="80"/>
                <w:sz w:val="20"/>
                <w:szCs w:val="20"/>
                <w:u w:val="single"/>
                <w:lang w:val="en-GB"/>
              </w:rPr>
            </w:pPr>
            <w:r w:rsidRPr="00895340">
              <w:rPr>
                <w:i/>
                <w:color w:val="1F3864" w:themeColor="accent1" w:themeShade="80"/>
                <w:sz w:val="20"/>
                <w:lang w:val="en-GB"/>
              </w:rPr>
              <w:t>The valorisation budget covers the costs</w:t>
            </w:r>
          </w:p>
          <w:p w:rsidR="00507A55" w:rsidRPr="00895340" w:rsidRDefault="00507A55" w:rsidP="00507A55">
            <w:pPr>
              <w:pStyle w:val="Contenudetableau"/>
              <w:numPr>
                <w:ilvl w:val="1"/>
                <w:numId w:val="3"/>
              </w:numPr>
              <w:rPr>
                <w:i/>
                <w:color w:val="1F3864" w:themeColor="accent1" w:themeShade="80"/>
                <w:sz w:val="20"/>
                <w:szCs w:val="20"/>
                <w:lang w:val="en-GB"/>
              </w:rPr>
            </w:pPr>
            <w:r w:rsidRPr="00895340">
              <w:rPr>
                <w:i/>
                <w:color w:val="1F3864" w:themeColor="accent1" w:themeShade="80"/>
                <w:sz w:val="20"/>
                <w:lang w:val="en-GB"/>
              </w:rPr>
              <w:t xml:space="preserve">For legal, marketing (logo, website, brochures, business cards), financial and economic advice associated with the </w:t>
            </w:r>
            <w:r>
              <w:rPr>
                <w:i/>
                <w:color w:val="1F3864" w:themeColor="accent1" w:themeShade="80"/>
                <w:sz w:val="20"/>
                <w:lang w:val="en-GB"/>
              </w:rPr>
              <w:t>creation</w:t>
            </w:r>
            <w:r w:rsidRPr="00895340">
              <w:rPr>
                <w:i/>
                <w:color w:val="1F3864" w:themeColor="accent1" w:themeShade="80"/>
                <w:sz w:val="20"/>
                <w:lang w:val="en-GB"/>
              </w:rPr>
              <w:t xml:space="preserve"> of the spin-off, including the income of the alter ego, if applicable. </w:t>
            </w:r>
          </w:p>
          <w:p w:rsidR="00507A55" w:rsidRPr="00895340" w:rsidRDefault="00507A55" w:rsidP="00507A55">
            <w:pPr>
              <w:pStyle w:val="Contenudetableau"/>
              <w:numPr>
                <w:ilvl w:val="1"/>
                <w:numId w:val="3"/>
              </w:numPr>
              <w:rPr>
                <w:i/>
                <w:color w:val="1F3864" w:themeColor="accent1" w:themeShade="80"/>
                <w:sz w:val="20"/>
                <w:szCs w:val="20"/>
                <w:lang w:val="en-GB"/>
              </w:rPr>
            </w:pPr>
            <w:r w:rsidRPr="00895340">
              <w:rPr>
                <w:i/>
                <w:color w:val="1F3864" w:themeColor="accent1" w:themeShade="80"/>
                <w:sz w:val="20"/>
                <w:lang w:val="en-GB"/>
              </w:rPr>
              <w:t xml:space="preserve">For economic demonstrations (trade fairs, customer acquisition, certification, etc.) </w:t>
            </w:r>
          </w:p>
          <w:p w:rsidR="006A761A" w:rsidRPr="00507A55" w:rsidRDefault="00507A55" w:rsidP="00507A55">
            <w:pPr>
              <w:pStyle w:val="Contenudetableau"/>
              <w:numPr>
                <w:ilvl w:val="1"/>
                <w:numId w:val="3"/>
              </w:numPr>
              <w:ind w:left="720"/>
              <w:rPr>
                <w:lang w:val="en-GB"/>
              </w:rPr>
            </w:pPr>
            <w:r w:rsidRPr="00507A55">
              <w:rPr>
                <w:i/>
                <w:color w:val="1F3864" w:themeColor="accent1" w:themeShade="80"/>
                <w:sz w:val="20"/>
                <w:lang w:val="en-GB"/>
              </w:rPr>
              <w:t xml:space="preserve">Patenting (costs associated with acquiring, approving and defending the patent linked to the project). </w:t>
            </w:r>
          </w:p>
        </w:tc>
      </w:tr>
    </w:tbl>
    <w:p w:rsidR="006A761A" w:rsidRPr="00507A55" w:rsidRDefault="006A761A">
      <w:pPr>
        <w:rPr>
          <w:lang w:val="en-GB"/>
        </w:rPr>
      </w:pPr>
    </w:p>
    <w:sectPr w:rsidR="006A761A" w:rsidRPr="00507A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1A8" w:rsidRDefault="00D771A8" w:rsidP="00560132">
      <w:pPr>
        <w:spacing w:after="0" w:line="240" w:lineRule="auto"/>
      </w:pPr>
      <w:r>
        <w:separator/>
      </w:r>
    </w:p>
  </w:endnote>
  <w:endnote w:type="continuationSeparator" w:id="0">
    <w:p w:rsidR="00D771A8" w:rsidRDefault="00D771A8" w:rsidP="0056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1A8" w:rsidRDefault="00D771A8" w:rsidP="00560132">
      <w:pPr>
        <w:spacing w:after="0" w:line="240" w:lineRule="auto"/>
      </w:pPr>
      <w:r>
        <w:separator/>
      </w:r>
    </w:p>
  </w:footnote>
  <w:footnote w:type="continuationSeparator" w:id="0">
    <w:p w:rsidR="00D771A8" w:rsidRDefault="00D771A8" w:rsidP="0056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132" w:rsidRDefault="00560132">
    <w:pPr>
      <w:pStyle w:val="En-tte"/>
    </w:pPr>
    <w:r>
      <w:rPr>
        <w:noProof/>
        <w:lang w:eastAsia="fr-BE"/>
      </w:rPr>
      <w:drawing>
        <wp:anchor distT="0" distB="0" distL="114300" distR="114300" simplePos="0" relativeHeight="251659264" behindDoc="1" locked="0" layoutInCell="1" allowOverlap="1" wp14:anchorId="5528FAA1" wp14:editId="2023CAD5">
          <wp:simplePos x="0" y="0"/>
          <wp:positionH relativeFrom="column">
            <wp:posOffset>-123825</wp:posOffset>
          </wp:positionH>
          <wp:positionV relativeFrom="paragraph">
            <wp:posOffset>-543560</wp:posOffset>
          </wp:positionV>
          <wp:extent cx="1830705" cy="1219200"/>
          <wp:effectExtent l="0" t="0" r="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5"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FCE"/>
    <w:multiLevelType w:val="multilevel"/>
    <w:tmpl w:val="B6D6C7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737277"/>
    <w:multiLevelType w:val="multilevel"/>
    <w:tmpl w:val="0028428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D1216D"/>
    <w:multiLevelType w:val="hybridMultilevel"/>
    <w:tmpl w:val="1DAE16E2"/>
    <w:lvl w:ilvl="0" w:tplc="78AAB7B4">
      <w:numFmt w:val="bullet"/>
      <w:lvlText w:val="•"/>
      <w:lvlJc w:val="left"/>
      <w:pPr>
        <w:ind w:left="1823" w:hanging="720"/>
      </w:pPr>
      <w:rPr>
        <w:rFonts w:ascii="Calibri" w:eastAsia="Times New Roman" w:hAnsi="Calibri" w:cs="Calibri" w:hint="default"/>
      </w:rPr>
    </w:lvl>
    <w:lvl w:ilvl="1" w:tplc="080C0003" w:tentative="1">
      <w:start w:val="1"/>
      <w:numFmt w:val="bullet"/>
      <w:lvlText w:val="o"/>
      <w:lvlJc w:val="left"/>
      <w:pPr>
        <w:ind w:left="2183" w:hanging="360"/>
      </w:pPr>
      <w:rPr>
        <w:rFonts w:ascii="Courier New" w:hAnsi="Courier New" w:cs="Courier New" w:hint="default"/>
      </w:rPr>
    </w:lvl>
    <w:lvl w:ilvl="2" w:tplc="080C0005" w:tentative="1">
      <w:start w:val="1"/>
      <w:numFmt w:val="bullet"/>
      <w:lvlText w:val=""/>
      <w:lvlJc w:val="left"/>
      <w:pPr>
        <w:ind w:left="2903" w:hanging="360"/>
      </w:pPr>
      <w:rPr>
        <w:rFonts w:ascii="Wingdings" w:hAnsi="Wingdings" w:hint="default"/>
      </w:rPr>
    </w:lvl>
    <w:lvl w:ilvl="3" w:tplc="080C0001" w:tentative="1">
      <w:start w:val="1"/>
      <w:numFmt w:val="bullet"/>
      <w:lvlText w:val=""/>
      <w:lvlJc w:val="left"/>
      <w:pPr>
        <w:ind w:left="3623" w:hanging="360"/>
      </w:pPr>
      <w:rPr>
        <w:rFonts w:ascii="Symbol" w:hAnsi="Symbol" w:hint="default"/>
      </w:rPr>
    </w:lvl>
    <w:lvl w:ilvl="4" w:tplc="080C0003" w:tentative="1">
      <w:start w:val="1"/>
      <w:numFmt w:val="bullet"/>
      <w:lvlText w:val="o"/>
      <w:lvlJc w:val="left"/>
      <w:pPr>
        <w:ind w:left="4343" w:hanging="360"/>
      </w:pPr>
      <w:rPr>
        <w:rFonts w:ascii="Courier New" w:hAnsi="Courier New" w:cs="Courier New" w:hint="default"/>
      </w:rPr>
    </w:lvl>
    <w:lvl w:ilvl="5" w:tplc="080C0005" w:tentative="1">
      <w:start w:val="1"/>
      <w:numFmt w:val="bullet"/>
      <w:lvlText w:val=""/>
      <w:lvlJc w:val="left"/>
      <w:pPr>
        <w:ind w:left="5063" w:hanging="360"/>
      </w:pPr>
      <w:rPr>
        <w:rFonts w:ascii="Wingdings" w:hAnsi="Wingdings" w:hint="default"/>
      </w:rPr>
    </w:lvl>
    <w:lvl w:ilvl="6" w:tplc="080C0001" w:tentative="1">
      <w:start w:val="1"/>
      <w:numFmt w:val="bullet"/>
      <w:lvlText w:val=""/>
      <w:lvlJc w:val="left"/>
      <w:pPr>
        <w:ind w:left="5783" w:hanging="360"/>
      </w:pPr>
      <w:rPr>
        <w:rFonts w:ascii="Symbol" w:hAnsi="Symbol" w:hint="default"/>
      </w:rPr>
    </w:lvl>
    <w:lvl w:ilvl="7" w:tplc="080C0003" w:tentative="1">
      <w:start w:val="1"/>
      <w:numFmt w:val="bullet"/>
      <w:lvlText w:val="o"/>
      <w:lvlJc w:val="left"/>
      <w:pPr>
        <w:ind w:left="6503" w:hanging="360"/>
      </w:pPr>
      <w:rPr>
        <w:rFonts w:ascii="Courier New" w:hAnsi="Courier New" w:cs="Courier New" w:hint="default"/>
      </w:rPr>
    </w:lvl>
    <w:lvl w:ilvl="8" w:tplc="080C0005" w:tentative="1">
      <w:start w:val="1"/>
      <w:numFmt w:val="bullet"/>
      <w:lvlText w:val=""/>
      <w:lvlJc w:val="left"/>
      <w:pPr>
        <w:ind w:left="7223" w:hanging="360"/>
      </w:pPr>
      <w:rPr>
        <w:rFonts w:ascii="Wingdings" w:hAnsi="Wingdings" w:hint="default"/>
      </w:rPr>
    </w:lvl>
  </w:abstractNum>
  <w:abstractNum w:abstractNumId="3" w15:restartNumberingAfterBreak="0">
    <w:nsid w:val="6B282781"/>
    <w:multiLevelType w:val="hybridMultilevel"/>
    <w:tmpl w:val="840072E4"/>
    <w:lvl w:ilvl="0" w:tplc="78AAB7B4">
      <w:numFmt w:val="bullet"/>
      <w:lvlText w:val="•"/>
      <w:lvlJc w:val="left"/>
      <w:pPr>
        <w:ind w:left="1080" w:hanging="72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1A"/>
    <w:rsid w:val="000945AE"/>
    <w:rsid w:val="0014174C"/>
    <w:rsid w:val="00462978"/>
    <w:rsid w:val="00507A55"/>
    <w:rsid w:val="00560132"/>
    <w:rsid w:val="006A761A"/>
    <w:rsid w:val="00D7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778E"/>
  <w15:chartTrackingRefBased/>
  <w15:docId w15:val="{2C78B3D7-0339-40FF-96DF-0E6AD49A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7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6A761A"/>
    <w:pPr>
      <w:suppressLineNumbers/>
      <w:suppressAutoHyphens/>
      <w:spacing w:after="0" w:line="240" w:lineRule="auto"/>
    </w:pPr>
    <w:rPr>
      <w:rFonts w:ascii="Times New Roman" w:eastAsia="Times New Roman" w:hAnsi="Times New Roman" w:cs="Times New Roman"/>
      <w:lang w:val="nl-BE" w:eastAsia="zh-CN"/>
    </w:rPr>
  </w:style>
  <w:style w:type="character" w:customStyle="1" w:styleId="Titre1Car">
    <w:name w:val="Titre 1 Car"/>
    <w:basedOn w:val="Policepardfaut"/>
    <w:link w:val="Titre1"/>
    <w:uiPriority w:val="9"/>
    <w:rsid w:val="006A761A"/>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507A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A55"/>
    <w:rPr>
      <w:rFonts w:ascii="Segoe UI" w:hAnsi="Segoe UI" w:cs="Segoe UI"/>
      <w:sz w:val="18"/>
      <w:szCs w:val="18"/>
    </w:rPr>
  </w:style>
  <w:style w:type="paragraph" w:styleId="En-tte">
    <w:name w:val="header"/>
    <w:basedOn w:val="Normal"/>
    <w:link w:val="En-tteCar"/>
    <w:uiPriority w:val="99"/>
    <w:unhideWhenUsed/>
    <w:rsid w:val="00560132"/>
    <w:pPr>
      <w:tabs>
        <w:tab w:val="center" w:pos="4536"/>
        <w:tab w:val="right" w:pos="9072"/>
      </w:tabs>
      <w:spacing w:after="0" w:line="240" w:lineRule="auto"/>
    </w:pPr>
  </w:style>
  <w:style w:type="character" w:customStyle="1" w:styleId="En-tteCar">
    <w:name w:val="En-tête Car"/>
    <w:basedOn w:val="Policepardfaut"/>
    <w:link w:val="En-tte"/>
    <w:uiPriority w:val="99"/>
    <w:rsid w:val="00560132"/>
  </w:style>
  <w:style w:type="paragraph" w:styleId="Pieddepage">
    <w:name w:val="footer"/>
    <w:basedOn w:val="Normal"/>
    <w:link w:val="PieddepageCar"/>
    <w:uiPriority w:val="99"/>
    <w:unhideWhenUsed/>
    <w:rsid w:val="00560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Innoviris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GROSFILS Aline</dc:creator>
  <cp:keywords/>
  <dc:description/>
  <cp:lastModifiedBy>GROSFILS Aline</cp:lastModifiedBy>
  <cp:revision>5</cp:revision>
  <dcterms:created xsi:type="dcterms:W3CDTF">2020-08-06T18:04:00Z</dcterms:created>
  <dcterms:modified xsi:type="dcterms:W3CDTF">2020-08-07T07:26:00Z</dcterms:modified>
</cp:coreProperties>
</file>