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10490" w:type="dxa"/>
        <w:tblInd w:w="-714" w:type="dxa"/>
        <w:tblLook w:val="04A0" w:firstRow="1" w:lastRow="0" w:firstColumn="1" w:lastColumn="0" w:noHBand="0" w:noVBand="1"/>
      </w:tblPr>
      <w:tblGrid>
        <w:gridCol w:w="1843"/>
        <w:gridCol w:w="2835"/>
        <w:gridCol w:w="5812"/>
      </w:tblGrid>
      <w:tr w:rsidR="00E52974" w:rsidRPr="00BD302C" w14:paraId="38C524D8" w14:textId="77777777" w:rsidTr="00E52974">
        <w:trPr>
          <w:trHeight w:val="1275"/>
        </w:trPr>
        <w:tc>
          <w:tcPr>
            <w:tcW w:w="10490" w:type="dxa"/>
            <w:gridSpan w:val="3"/>
            <w:hideMark/>
          </w:tcPr>
          <w:p w14:paraId="3F263B7E" w14:textId="22110382" w:rsidR="00E52974" w:rsidRPr="00BD302C" w:rsidRDefault="00E52974" w:rsidP="00E52974">
            <w:pPr>
              <w:jc w:val="center"/>
              <w:rPr>
                <w:b/>
                <w:bCs/>
                <w:noProof w:val="0"/>
                <w:sz w:val="32"/>
                <w:szCs w:val="32"/>
              </w:rPr>
            </w:pPr>
            <w:r w:rsidRPr="00BD302C">
              <w:rPr>
                <w:b/>
                <w:bCs/>
                <w:noProof w:val="0"/>
              </w:rPr>
              <w:br/>
            </w:r>
            <w:r w:rsidRPr="00BD302C">
              <w:rPr>
                <w:b/>
                <w:bCs/>
                <w:noProof w:val="0"/>
              </w:rPr>
              <w:br/>
            </w:r>
            <w:r w:rsidRPr="00BD302C">
              <w:rPr>
                <w:b/>
                <w:noProof w:val="0"/>
                <w:sz w:val="32"/>
              </w:rPr>
              <w:t>PYSI-projecten gefinancierd in 2023</w:t>
            </w:r>
          </w:p>
        </w:tc>
      </w:tr>
      <w:tr w:rsidR="00E52974" w:rsidRPr="00BD302C" w14:paraId="29307C76" w14:textId="77777777" w:rsidTr="00E52974">
        <w:trPr>
          <w:trHeight w:val="300"/>
        </w:trPr>
        <w:tc>
          <w:tcPr>
            <w:tcW w:w="1843" w:type="dxa"/>
            <w:hideMark/>
          </w:tcPr>
          <w:p w14:paraId="7E2344A9" w14:textId="77777777" w:rsidR="00E52974" w:rsidRPr="00BD302C" w:rsidRDefault="00E52974">
            <w:pPr>
              <w:rPr>
                <w:b/>
                <w:bCs/>
                <w:noProof w:val="0"/>
              </w:rPr>
            </w:pPr>
            <w:r w:rsidRPr="00BD302C">
              <w:rPr>
                <w:b/>
                <w:noProof w:val="0"/>
              </w:rPr>
              <w:t>Organisatie</w:t>
            </w:r>
          </w:p>
        </w:tc>
        <w:tc>
          <w:tcPr>
            <w:tcW w:w="2835" w:type="dxa"/>
            <w:hideMark/>
          </w:tcPr>
          <w:p w14:paraId="2A0E1190" w14:textId="77777777" w:rsidR="00E52974" w:rsidRPr="00BD302C" w:rsidRDefault="00E52974">
            <w:pPr>
              <w:rPr>
                <w:b/>
                <w:bCs/>
                <w:noProof w:val="0"/>
              </w:rPr>
            </w:pPr>
            <w:r w:rsidRPr="00BD302C">
              <w:rPr>
                <w:b/>
                <w:noProof w:val="0"/>
              </w:rPr>
              <w:t>Titel van het project</w:t>
            </w:r>
          </w:p>
        </w:tc>
        <w:tc>
          <w:tcPr>
            <w:tcW w:w="5812" w:type="dxa"/>
            <w:hideMark/>
          </w:tcPr>
          <w:p w14:paraId="78C4990D" w14:textId="77777777" w:rsidR="00E52974" w:rsidRPr="00BD302C" w:rsidRDefault="00E52974">
            <w:pPr>
              <w:rPr>
                <w:b/>
                <w:bCs/>
                <w:noProof w:val="0"/>
              </w:rPr>
            </w:pPr>
            <w:r w:rsidRPr="00BD302C">
              <w:rPr>
                <w:b/>
                <w:noProof w:val="0"/>
              </w:rPr>
              <w:t>Samenvatting van het project</w:t>
            </w:r>
          </w:p>
        </w:tc>
      </w:tr>
      <w:tr w:rsidR="00E52974" w:rsidRPr="00BD302C" w14:paraId="043B8B24" w14:textId="77777777" w:rsidTr="00E52974">
        <w:trPr>
          <w:trHeight w:val="3060"/>
        </w:trPr>
        <w:tc>
          <w:tcPr>
            <w:tcW w:w="1843" w:type="dxa"/>
            <w:hideMark/>
          </w:tcPr>
          <w:p w14:paraId="442394B5" w14:textId="77777777" w:rsidR="00E52974" w:rsidRPr="00BD302C" w:rsidRDefault="00E52974">
            <w:pPr>
              <w:rPr>
                <w:b/>
                <w:bCs/>
                <w:noProof w:val="0"/>
              </w:rPr>
            </w:pPr>
            <w:r w:rsidRPr="00BD302C">
              <w:rPr>
                <w:b/>
                <w:noProof w:val="0"/>
              </w:rPr>
              <w:t>zero.brussels</w:t>
            </w:r>
          </w:p>
        </w:tc>
        <w:tc>
          <w:tcPr>
            <w:tcW w:w="2835" w:type="dxa"/>
            <w:hideMark/>
          </w:tcPr>
          <w:p w14:paraId="240CB56E" w14:textId="77777777" w:rsidR="00E52974" w:rsidRPr="00BD302C" w:rsidRDefault="00E52974">
            <w:pPr>
              <w:rPr>
                <w:noProof w:val="0"/>
              </w:rPr>
            </w:pPr>
            <w:r w:rsidRPr="00BD302C">
              <w:rPr>
                <w:noProof w:val="0"/>
              </w:rPr>
              <w:t>levv Prescaling Validation</w:t>
            </w:r>
          </w:p>
        </w:tc>
        <w:tc>
          <w:tcPr>
            <w:tcW w:w="5812" w:type="dxa"/>
            <w:hideMark/>
          </w:tcPr>
          <w:p w14:paraId="1698EFFD" w14:textId="05B1D4D3" w:rsidR="00E52974" w:rsidRPr="00BD302C" w:rsidRDefault="00E52974">
            <w:pPr>
              <w:rPr>
                <w:noProof w:val="0"/>
              </w:rPr>
            </w:pPr>
            <w:r w:rsidRPr="00BD302C">
              <w:rPr>
                <w:noProof w:val="0"/>
              </w:rPr>
              <w:t xml:space="preserve">levv heat &amp; cloud is een nieuwe opvatting van digitale infrastructuur om het klimaatakkoord van Parijs na te leven. Daarvoor zou de IT-sector zijn uitstoot met 45% moeten verminderen. De datacenters van levv heat &amp; cloud zijn kleiner, liggen meer verspreid en zijn gevestigd in al bestaande gebouwen in stadscentra. De symbiotische relatie tussen de nood aan infrastructuur van een datacenter en de warmtebehoefte van de gebouwen maakt het mogelijk om een toegang tot rekencapaciteit te bieden die een aanzienlijk lagere milieu-impact heeft en gekoppeld is aan positieve externe effecten (verankerd in het grondgebied, digitale </w:t>
            </w:r>
            <w:r w:rsidR="000E6219" w:rsidRPr="00BD302C">
              <w:rPr>
                <w:noProof w:val="0"/>
              </w:rPr>
              <w:t>soevereiniteit</w:t>
            </w:r>
            <w:r w:rsidRPr="00BD302C">
              <w:rPr>
                <w:noProof w:val="0"/>
              </w:rPr>
              <w:t>, digitalisering, ...). Tezelfdertijd biedt dit model vastgoedmaatschappijen (zoals de openbare vastgoedmaatschappijen of OVM</w:t>
            </w:r>
            <w:r w:rsidR="000E6219" w:rsidRPr="00BD302C">
              <w:rPr>
                <w:noProof w:val="0"/>
              </w:rPr>
              <w:t>’s</w:t>
            </w:r>
            <w:r w:rsidRPr="00BD302C">
              <w:rPr>
                <w:noProof w:val="0"/>
              </w:rPr>
              <w:t xml:space="preserve">) toegang tot een voordelige verwarmingsbron, zonder beperkingen inzake beheer, </w:t>
            </w:r>
            <w:r w:rsidR="000E6219" w:rsidRPr="00BD302C">
              <w:rPr>
                <w:noProof w:val="0"/>
              </w:rPr>
              <w:t xml:space="preserve">zonder </w:t>
            </w:r>
            <w:r w:rsidRPr="00BD302C">
              <w:rPr>
                <w:noProof w:val="0"/>
              </w:rPr>
              <w:t xml:space="preserve">extra kosten of onderhoudskosten, </w:t>
            </w:r>
            <w:r w:rsidR="000E6219" w:rsidRPr="00BD302C">
              <w:rPr>
                <w:noProof w:val="0"/>
              </w:rPr>
              <w:t xml:space="preserve">kortom: </w:t>
            </w:r>
            <w:r w:rsidRPr="00BD302C">
              <w:rPr>
                <w:noProof w:val="0"/>
              </w:rPr>
              <w:t xml:space="preserve">het </w:t>
            </w:r>
            <w:r w:rsidR="000E6219" w:rsidRPr="00BD302C">
              <w:rPr>
                <w:noProof w:val="0"/>
              </w:rPr>
              <w:t xml:space="preserve">soort </w:t>
            </w:r>
            <w:r w:rsidRPr="00BD302C">
              <w:rPr>
                <w:noProof w:val="0"/>
              </w:rPr>
              <w:t xml:space="preserve">verwarmingsbron waar ze in het bijzonder vragende partij voor zijn gezien de energiecontext en de gewestelijke doelstellingen voor energie-efficiëntie. </w:t>
            </w:r>
          </w:p>
        </w:tc>
      </w:tr>
      <w:tr w:rsidR="00E52974" w:rsidRPr="00BD302C" w14:paraId="4344FAFF" w14:textId="77777777" w:rsidTr="00E52974">
        <w:trPr>
          <w:trHeight w:val="4200"/>
        </w:trPr>
        <w:tc>
          <w:tcPr>
            <w:tcW w:w="1843" w:type="dxa"/>
            <w:hideMark/>
          </w:tcPr>
          <w:p w14:paraId="7B558977" w14:textId="77777777" w:rsidR="00E52974" w:rsidRPr="00BD302C" w:rsidRDefault="00E52974">
            <w:pPr>
              <w:rPr>
                <w:b/>
                <w:bCs/>
                <w:noProof w:val="0"/>
              </w:rPr>
            </w:pPr>
            <w:r w:rsidRPr="00BD302C">
              <w:rPr>
                <w:b/>
                <w:noProof w:val="0"/>
              </w:rPr>
              <w:t>Mazette</w:t>
            </w:r>
          </w:p>
        </w:tc>
        <w:tc>
          <w:tcPr>
            <w:tcW w:w="2835" w:type="dxa"/>
            <w:hideMark/>
          </w:tcPr>
          <w:p w14:paraId="1B878C93" w14:textId="77777777" w:rsidR="00E52974" w:rsidRPr="00BD302C" w:rsidRDefault="00E52974">
            <w:pPr>
              <w:rPr>
                <w:noProof w:val="0"/>
              </w:rPr>
            </w:pPr>
            <w:r w:rsidRPr="00BD302C">
              <w:rPr>
                <w:noProof w:val="0"/>
              </w:rPr>
              <w:t>Mama (Marollen &amp; Mazette)</w:t>
            </w:r>
          </w:p>
        </w:tc>
        <w:tc>
          <w:tcPr>
            <w:tcW w:w="5812" w:type="dxa"/>
            <w:hideMark/>
          </w:tcPr>
          <w:p w14:paraId="3A289E12" w14:textId="215CA5B0" w:rsidR="00E52974" w:rsidRPr="00BD302C" w:rsidRDefault="00E52974">
            <w:pPr>
              <w:rPr>
                <w:noProof w:val="0"/>
              </w:rPr>
            </w:pPr>
            <w:r w:rsidRPr="00BD302C">
              <w:rPr>
                <w:noProof w:val="0"/>
              </w:rPr>
              <w:t xml:space="preserve">Mazette beantwoordt aan diverse sociale noden zoals lekker eten en drinken, </w:t>
            </w:r>
            <w:r w:rsidR="000E6219" w:rsidRPr="00BD302C">
              <w:rPr>
                <w:noProof w:val="0"/>
              </w:rPr>
              <w:t>anderen ontmoeten</w:t>
            </w:r>
            <w:r w:rsidRPr="00BD302C">
              <w:rPr>
                <w:noProof w:val="0"/>
              </w:rPr>
              <w:t xml:space="preserve">, lachen en plezier maken. Mazette </w:t>
            </w:r>
            <w:r w:rsidR="000E6219" w:rsidRPr="00BD302C">
              <w:rPr>
                <w:noProof w:val="0"/>
              </w:rPr>
              <w:t>vervult die behoefte met een</w:t>
            </w:r>
            <w:r w:rsidRPr="00BD302C">
              <w:rPr>
                <w:noProof w:val="0"/>
              </w:rPr>
              <w:t xml:space="preserve"> gezellige brasserie</w:t>
            </w:r>
            <w:r w:rsidR="000E6219" w:rsidRPr="00BD302C">
              <w:rPr>
                <w:noProof w:val="0"/>
              </w:rPr>
              <w:t xml:space="preserve"> die </w:t>
            </w:r>
            <w:r w:rsidRPr="00BD302C">
              <w:rPr>
                <w:noProof w:val="0"/>
              </w:rPr>
              <w:t>heerlijke, ambachtelijk gemaakte dranken en gerechte</w:t>
            </w:r>
            <w:r w:rsidR="000E6219" w:rsidRPr="00BD302C">
              <w:rPr>
                <w:noProof w:val="0"/>
              </w:rPr>
              <w:t>n biedt</w:t>
            </w:r>
            <w:r w:rsidRPr="00BD302C">
              <w:rPr>
                <w:noProof w:val="0"/>
              </w:rPr>
              <w:t>. De brasserie op het Vossenplein in de Marollenwijk is open sinds maart 2022 en kent een groeiend succes bij de Brusselaars. Er is een bescheiden programmering van activiteiten (conferenties, concerten, workshops ...) in wat wordt beschouwd als een culturele 'third place'.</w:t>
            </w:r>
            <w:r w:rsidRPr="00BD302C">
              <w:rPr>
                <w:noProof w:val="0"/>
              </w:rPr>
              <w:br/>
            </w:r>
            <w:r w:rsidRPr="00BD302C">
              <w:rPr>
                <w:noProof w:val="0"/>
              </w:rPr>
              <w:br/>
              <w:t>Het project MaMa (Marollen &amp; Mazette) wil het coöperatieve aspect van café-brasserie Mazette verder ontwikkelen. Het doel is tweeledig:</w:t>
            </w:r>
            <w:r w:rsidRPr="00BD302C">
              <w:rPr>
                <w:noProof w:val="0"/>
              </w:rPr>
              <w:br/>
              <w:t>- Voorstellen en valideren van activiteitenprogramma in Mazette dat is afgestemd op de vraag van de mensen die in de Marollen wonen en werken.</w:t>
            </w:r>
            <w:r w:rsidRPr="00BD302C">
              <w:rPr>
                <w:noProof w:val="0"/>
              </w:rPr>
              <w:br/>
              <w:t xml:space="preserve">- Voorstellen en valideren van specifieke prijzen voor de gerechten en/of dranken, aangepast aan de inkomsten van de bewoners van de Marollen. </w:t>
            </w:r>
          </w:p>
        </w:tc>
      </w:tr>
      <w:tr w:rsidR="00E52974" w:rsidRPr="00BD302C" w14:paraId="5803F653" w14:textId="77777777" w:rsidTr="00E52974">
        <w:trPr>
          <w:trHeight w:val="3300"/>
        </w:trPr>
        <w:tc>
          <w:tcPr>
            <w:tcW w:w="1843" w:type="dxa"/>
            <w:hideMark/>
          </w:tcPr>
          <w:p w14:paraId="485DD60A" w14:textId="77777777" w:rsidR="00E52974" w:rsidRPr="00BD302C" w:rsidRDefault="00E52974">
            <w:pPr>
              <w:rPr>
                <w:b/>
                <w:bCs/>
                <w:noProof w:val="0"/>
              </w:rPr>
            </w:pPr>
            <w:r w:rsidRPr="00BD302C">
              <w:rPr>
                <w:b/>
                <w:noProof w:val="0"/>
              </w:rPr>
              <w:lastRenderedPageBreak/>
              <w:t>Unago</w:t>
            </w:r>
          </w:p>
        </w:tc>
        <w:tc>
          <w:tcPr>
            <w:tcW w:w="2835" w:type="dxa"/>
            <w:hideMark/>
          </w:tcPr>
          <w:p w14:paraId="52E90976" w14:textId="34D7D6F7" w:rsidR="00E52974" w:rsidRPr="003D431D" w:rsidRDefault="003D431D">
            <w:pPr>
              <w:rPr>
                <w:noProof w:val="0"/>
                <w:lang w:val="fr-BE"/>
              </w:rPr>
            </w:pPr>
            <w:r w:rsidRPr="003D431D">
              <w:rPr>
                <w:lang w:val="fr-BE"/>
              </w:rPr>
              <w:t>Réinsertion professionnelle de personnes avec un passé judiciaire</w:t>
            </w:r>
          </w:p>
        </w:tc>
        <w:tc>
          <w:tcPr>
            <w:tcW w:w="5812" w:type="dxa"/>
            <w:hideMark/>
          </w:tcPr>
          <w:p w14:paraId="511CC6D0" w14:textId="5A5C75AF" w:rsidR="00E52974" w:rsidRPr="00BD302C" w:rsidRDefault="00E52974">
            <w:pPr>
              <w:rPr>
                <w:noProof w:val="0"/>
              </w:rPr>
            </w:pPr>
            <w:r w:rsidRPr="00BD302C">
              <w:rPr>
                <w:noProof w:val="0"/>
              </w:rPr>
              <w:t xml:space="preserve">Unago helpt bedrijven om gemotiveerd en goed personeel te vinden en helpt tegelijk mensen met een gerechtelijk verleden om zich opnieuw te integreren in de samenleving. Die bevolkingsgroep is, ondanks zijn motivatie en vaardigheden, vaak verstoken van kansen op de arbeidsmarkt. Het voordeel voor de bedrijven is dat de kandidaten vooraf zorgvuldig werden geselecteerd, dat ze mee kunnen werken aan een zinvolle sociale opdracht en hun inclusie- en diversiteitsbeleid kunnen verbeteren. We hechten enorm veel belang aan het menselijke aspect en het succes van de plaatsing, daarom bieden we de kandidaten een coaching voor ze aan het werk gaan, en een begeleiding gedurende het hele arbeidscontract om het goede verloop op lange termijn te verzekeren. Dankzij de steun van Innoviris konden we onze eerste kandidaten aan werk helpen dankzij 'proefprojecten'. </w:t>
            </w:r>
          </w:p>
        </w:tc>
      </w:tr>
      <w:tr w:rsidR="00E52974" w:rsidRPr="00BD302C" w14:paraId="5D5D462D" w14:textId="77777777" w:rsidTr="00E52974">
        <w:trPr>
          <w:trHeight w:val="2700"/>
        </w:trPr>
        <w:tc>
          <w:tcPr>
            <w:tcW w:w="1843" w:type="dxa"/>
            <w:hideMark/>
          </w:tcPr>
          <w:p w14:paraId="2B0DA30C" w14:textId="77777777" w:rsidR="00E52974" w:rsidRPr="00BD302C" w:rsidRDefault="00E52974">
            <w:pPr>
              <w:rPr>
                <w:b/>
                <w:bCs/>
                <w:noProof w:val="0"/>
              </w:rPr>
            </w:pPr>
            <w:r w:rsidRPr="00BD302C">
              <w:rPr>
                <w:b/>
                <w:noProof w:val="0"/>
              </w:rPr>
              <w:t xml:space="preserve">NANSEN </w:t>
            </w:r>
          </w:p>
        </w:tc>
        <w:tc>
          <w:tcPr>
            <w:tcW w:w="2835" w:type="dxa"/>
            <w:hideMark/>
          </w:tcPr>
          <w:p w14:paraId="4534D57B" w14:textId="0184CE1A" w:rsidR="00E52974" w:rsidRPr="003D431D" w:rsidRDefault="003D431D">
            <w:pPr>
              <w:rPr>
                <w:noProof w:val="0"/>
                <w:lang w:val="fr-BE"/>
              </w:rPr>
            </w:pPr>
            <w:r w:rsidRPr="003D431D">
              <w:rPr>
                <w:lang w:val="fr-BE"/>
              </w:rPr>
              <w:t>Pour une approche interdisciplinaire de l’asile</w:t>
            </w:r>
          </w:p>
        </w:tc>
        <w:tc>
          <w:tcPr>
            <w:tcW w:w="5812" w:type="dxa"/>
            <w:hideMark/>
          </w:tcPr>
          <w:p w14:paraId="16EEAC86" w14:textId="77777777" w:rsidR="00E52974" w:rsidRPr="00BD302C" w:rsidRDefault="00E52974">
            <w:pPr>
              <w:rPr>
                <w:noProof w:val="0"/>
              </w:rPr>
            </w:pPr>
            <w:r w:rsidRPr="00BD302C">
              <w:rPr>
                <w:noProof w:val="0"/>
              </w:rPr>
              <w:t>Voor NANSEN omvat een kwalitatieve asielprocedure een echte interdisciplinaire aanpak bij de behandeling van aanvragen voor internationale bescherming. Het project test twee hypotheses en wil die eventueel daarna bevestigen. De ene betreft de mogelijkheid om een interdisciplinaire benadering van asiel te promoten bij de actoren van die procedure (advocaten en instanties). De andere betreft de mogelijkheid om de actoren op het terrein van het vluchtelingenrecht in contact te brengen met de actoren van het academisch onderzoek rond internationale bescherming en mensenrechten. Het project wil de brug slaan tussen expertises en tussen theorie en praktijk, voor een directe impact op de fundamentele rechten van mensen die nood hebben aan internationale bescherming.</w:t>
            </w:r>
          </w:p>
        </w:tc>
      </w:tr>
      <w:tr w:rsidR="003D431D" w:rsidRPr="003D431D" w14:paraId="6BDBC251" w14:textId="77777777" w:rsidTr="00E52974">
        <w:trPr>
          <w:trHeight w:val="3600"/>
        </w:trPr>
        <w:tc>
          <w:tcPr>
            <w:tcW w:w="1843" w:type="dxa"/>
            <w:hideMark/>
          </w:tcPr>
          <w:p w14:paraId="5E5A20B6" w14:textId="77777777" w:rsidR="003D431D" w:rsidRPr="00BD302C" w:rsidRDefault="003D431D" w:rsidP="003D431D">
            <w:pPr>
              <w:rPr>
                <w:b/>
                <w:bCs/>
                <w:noProof w:val="0"/>
              </w:rPr>
            </w:pPr>
            <w:r w:rsidRPr="00BD302C">
              <w:rPr>
                <w:b/>
                <w:bCs/>
                <w:noProof w:val="0"/>
              </w:rPr>
              <w:t>Empowork Culture</w:t>
            </w:r>
          </w:p>
        </w:tc>
        <w:tc>
          <w:tcPr>
            <w:tcW w:w="2835" w:type="dxa"/>
            <w:hideMark/>
          </w:tcPr>
          <w:p w14:paraId="42A5C354" w14:textId="77777777" w:rsidR="003D431D" w:rsidRPr="003D431D" w:rsidRDefault="003D431D" w:rsidP="003D431D">
            <w:pPr>
              <w:rPr>
                <w:noProof w:val="0"/>
                <w:lang w:val="en-US"/>
              </w:rPr>
            </w:pPr>
            <w:r w:rsidRPr="003D431D">
              <w:rPr>
                <w:noProof w:val="0"/>
                <w:lang w:val="en-US"/>
              </w:rPr>
              <w:t>An Employers’ Grouping for the Cultural Sector - Feasibility Study</w:t>
            </w:r>
          </w:p>
        </w:tc>
        <w:tc>
          <w:tcPr>
            <w:tcW w:w="5812" w:type="dxa"/>
            <w:hideMark/>
          </w:tcPr>
          <w:p w14:paraId="6C4345DB" w14:textId="3F5D8EBD" w:rsidR="003D431D" w:rsidRPr="003D431D" w:rsidRDefault="003D431D" w:rsidP="003D431D">
            <w:pPr>
              <w:rPr>
                <w:noProof w:val="0"/>
                <w:lang w:val="nl-BE"/>
              </w:rPr>
            </w:pPr>
            <w:r w:rsidRPr="00ED26BB">
              <w:t>Empowork Culture is een project voor gedeelde tewerkstelling, ten dienste van de Brusselse en Waalse culturele operatoren. Het kreeg de vorm van een 'werkgeversgroepering' en heeft tot doel vaste, voltijdse contracten te creëren op basis van de deeltijdse en/of tijdelijke werkaanbiedingen van zijn leden, om zowel hun activiteiten te versterken als de werkomstandigheden van hun personeel te verbeteren.</w:t>
            </w:r>
            <w:r w:rsidRPr="00ED26BB">
              <w:br/>
              <w:t>De kracht van het project Empowork Culture ligt in zijn inherent vermogen om een antwoord te bieden op verschillende pijnpunten van de tewerkstelling in de culturele sector, zoals werkonzekerheid, het gebrek aan diversiteit van het personeel van de culturele operatoren, en het gebrek aan meer wijdverspreide managementinformatiesystemen waardoor de organisaties efficiënter zouden kunnen werken. Het voorgestelde programma wil die pijnpunten grondig onderzoeken, zodat daarna een gloednieuw tewerkstellingssysteem kan worden ontwikkeld dat ten goede komt aan de organisaties, hun personeel en de samenleving in het algemeen.</w:t>
            </w:r>
          </w:p>
        </w:tc>
      </w:tr>
      <w:tr w:rsidR="00E52974" w:rsidRPr="00BD302C" w14:paraId="67C7A86A" w14:textId="77777777" w:rsidTr="00E52974">
        <w:trPr>
          <w:trHeight w:val="2100"/>
        </w:trPr>
        <w:tc>
          <w:tcPr>
            <w:tcW w:w="1843" w:type="dxa"/>
            <w:hideMark/>
          </w:tcPr>
          <w:p w14:paraId="68BA7CA8" w14:textId="77777777" w:rsidR="00E52974" w:rsidRPr="00BD302C" w:rsidRDefault="00E52974">
            <w:pPr>
              <w:rPr>
                <w:b/>
                <w:bCs/>
                <w:noProof w:val="0"/>
              </w:rPr>
            </w:pPr>
            <w:r w:rsidRPr="00BD302C">
              <w:rPr>
                <w:b/>
                <w:noProof w:val="0"/>
              </w:rPr>
              <w:lastRenderedPageBreak/>
              <w:t xml:space="preserve">CinéCité </w:t>
            </w:r>
          </w:p>
        </w:tc>
        <w:tc>
          <w:tcPr>
            <w:tcW w:w="2835" w:type="dxa"/>
            <w:hideMark/>
          </w:tcPr>
          <w:p w14:paraId="554D3423" w14:textId="77777777" w:rsidR="00E52974" w:rsidRPr="003D431D" w:rsidRDefault="00E52974">
            <w:pPr>
              <w:rPr>
                <w:noProof w:val="0"/>
                <w:lang w:val="fr-BE"/>
              </w:rPr>
            </w:pPr>
            <w:r w:rsidRPr="003D431D">
              <w:rPr>
                <w:noProof w:val="0"/>
                <w:lang w:val="fr-BE"/>
              </w:rPr>
              <w:t>P.E.R.C.H.E. (Projections Et Rencontres pour Cinéphiles en situation de Handicap ou d’Empêchement)</w:t>
            </w:r>
          </w:p>
        </w:tc>
        <w:tc>
          <w:tcPr>
            <w:tcW w:w="5812" w:type="dxa"/>
            <w:hideMark/>
          </w:tcPr>
          <w:p w14:paraId="0DD60D44" w14:textId="1A1DE32F" w:rsidR="00E52974" w:rsidRPr="00BD302C" w:rsidRDefault="00E52974">
            <w:pPr>
              <w:rPr>
                <w:noProof w:val="0"/>
              </w:rPr>
            </w:pPr>
            <w:r w:rsidRPr="00BD302C">
              <w:rPr>
                <w:noProof w:val="0"/>
              </w:rPr>
              <w:t>P.E.R.C.H.E. is een project van inclusieve bioscoopvoorstellingen</w:t>
            </w:r>
            <w:r w:rsidR="00660820">
              <w:rPr>
                <w:noProof w:val="0"/>
              </w:rPr>
              <w:t xml:space="preserve"> dat is o</w:t>
            </w:r>
            <w:r w:rsidRPr="00BD302C">
              <w:rPr>
                <w:noProof w:val="0"/>
              </w:rPr>
              <w:t>ntstaan vanuit de vaststelling dat onuitgesproken normen en technologische uitdagingen bepaalde doelgroepen uitsluiten</w:t>
            </w:r>
            <w:r w:rsidR="00660820">
              <w:rPr>
                <w:noProof w:val="0"/>
              </w:rPr>
              <w:t xml:space="preserve">. </w:t>
            </w:r>
            <w:r w:rsidRPr="00BD302C">
              <w:rPr>
                <w:noProof w:val="0"/>
              </w:rPr>
              <w:t xml:space="preserve">P.E.R.C.H.E. </w:t>
            </w:r>
            <w:r w:rsidR="00660820">
              <w:rPr>
                <w:noProof w:val="0"/>
              </w:rPr>
              <w:t xml:space="preserve">wil </w:t>
            </w:r>
            <w:r w:rsidRPr="00BD302C">
              <w:rPr>
                <w:noProof w:val="0"/>
              </w:rPr>
              <w:t>het technisch en praktisch mogelijk maken dat verschillende soorten publiek samen een voorstelling kunnen zien en elkaar kunnen ontmoeten. Het project ontwikkelt ook tools voor bioscoopzalen (internetplatform, vademecum, opleidingen …), in samenwerking met gespecialiseerde verenigingen.</w:t>
            </w:r>
          </w:p>
        </w:tc>
      </w:tr>
      <w:tr w:rsidR="003D431D" w:rsidRPr="003D431D" w14:paraId="198A348D" w14:textId="77777777" w:rsidTr="00E52974">
        <w:trPr>
          <w:trHeight w:val="6300"/>
        </w:trPr>
        <w:tc>
          <w:tcPr>
            <w:tcW w:w="1843" w:type="dxa"/>
            <w:hideMark/>
          </w:tcPr>
          <w:p w14:paraId="7194EBFB" w14:textId="77777777" w:rsidR="003D431D" w:rsidRPr="00BD302C" w:rsidRDefault="003D431D" w:rsidP="003D431D">
            <w:pPr>
              <w:rPr>
                <w:b/>
                <w:bCs/>
                <w:noProof w:val="0"/>
              </w:rPr>
            </w:pPr>
            <w:r w:rsidRPr="00BD302C">
              <w:rPr>
                <w:b/>
                <w:bCs/>
                <w:noProof w:val="0"/>
              </w:rPr>
              <w:t>MolenGeek</w:t>
            </w:r>
          </w:p>
        </w:tc>
        <w:tc>
          <w:tcPr>
            <w:tcW w:w="2835" w:type="dxa"/>
            <w:hideMark/>
          </w:tcPr>
          <w:p w14:paraId="792DF796" w14:textId="77777777" w:rsidR="003D431D" w:rsidRPr="003D431D" w:rsidRDefault="003D431D" w:rsidP="003D431D">
            <w:pPr>
              <w:rPr>
                <w:noProof w:val="0"/>
                <w:lang w:val="en-US"/>
              </w:rPr>
            </w:pPr>
            <w:r w:rsidRPr="003D431D">
              <w:rPr>
                <w:noProof w:val="0"/>
                <w:lang w:val="en-US"/>
              </w:rPr>
              <w:t>SideGeek: An inclusive recruitment pipeline</w:t>
            </w:r>
          </w:p>
        </w:tc>
        <w:tc>
          <w:tcPr>
            <w:tcW w:w="5812" w:type="dxa"/>
            <w:hideMark/>
          </w:tcPr>
          <w:p w14:paraId="73803BFC" w14:textId="7313902F" w:rsidR="003D431D" w:rsidRPr="003D431D" w:rsidRDefault="003D431D" w:rsidP="003D431D">
            <w:pPr>
              <w:rPr>
                <w:noProof w:val="0"/>
                <w:lang w:val="nl-BE"/>
              </w:rPr>
            </w:pPr>
            <w:r w:rsidRPr="00ED26BB">
              <w:t>Doel van dit project - SideGeek - is de haalbaarheid aantonen van een inclusief wervingsmechanisme, dat twee belangrijke problemen in de IT-sector en in de samenleving in het algemeen oplost: dat van (i) werkloosheid en/of uitsluiting van de technologische sector, en (ii) een tekort aan vaardigheden waardoor digitale profielen aanwerven</w:t>
            </w:r>
            <w:r w:rsidR="00660820">
              <w:t xml:space="preserve"> een uitdaging wordt</w:t>
            </w:r>
            <w:r w:rsidRPr="00ED26BB">
              <w:t>.</w:t>
            </w:r>
            <w:r w:rsidRPr="00ED26BB">
              <w:br/>
              <w:t>SideGeek is een innovatieve nieuwe wervingspipeline die werkgevers en kandidaten ondersteunt doorheen het hele traject van aanwerving, digitale opleiding en onboarding. Via SideGeek brengt MolenGeek de leerlingen die er binnenkomen in contact met een werkgever die op zoek is naar specifieke digitale vaardigheden.</w:t>
            </w:r>
            <w:r w:rsidRPr="00ED26BB">
              <w:br/>
              <w:t>Na die selectieprocedure aan het begin van de opleiding bieden we zowel de kandidaten als de werkgevers een professionele ondersteuning gedurende het hele onboarding proces, om te verzekeren dat de kandidaat zich met succes integreert in zijn digitale rol.</w:t>
            </w:r>
            <w:r w:rsidRPr="00ED26BB">
              <w:br/>
              <w:t>De financiering zal worden gebruikt voor onze eerste 105 plaatsingen via het SideGeek-programma, waardoor we de economische haalbaarheid en effectiviteit van die wervingspipeline kunnen testen.</w:t>
            </w:r>
            <w:r w:rsidRPr="00ED26BB">
              <w:br/>
              <w:t>MolenGeek is uitgegroeid tot een expert in de activatie van jonge NEETs (Not in Education, Employment or Training) met diverse achtergronden, door middel van inclusieve digitale opleidingen die erop gericht zijn digitale vaardigheden te ontwikkelen die erg gevraagd zijn op de arbeidsmarkt. Het SideGeek-programma vormt een natuurlijke uitbreiding van ons bestaande werk en impact, omdat het een concrete HR-oplossing biedt voor werkgevers die talenten met digitale vaardigheden willen aanwerven, en tezelfdertijd meer diversiteit onder hun personeel willen.</w:t>
            </w:r>
          </w:p>
        </w:tc>
      </w:tr>
      <w:tr w:rsidR="00E52974" w:rsidRPr="00BD302C" w14:paraId="6EF37E81" w14:textId="77777777" w:rsidTr="00E52974">
        <w:trPr>
          <w:trHeight w:val="3600"/>
        </w:trPr>
        <w:tc>
          <w:tcPr>
            <w:tcW w:w="1843" w:type="dxa"/>
            <w:hideMark/>
          </w:tcPr>
          <w:p w14:paraId="660EBE64" w14:textId="77777777" w:rsidR="00E52974" w:rsidRPr="00BD302C" w:rsidRDefault="00E52974">
            <w:pPr>
              <w:rPr>
                <w:b/>
                <w:bCs/>
                <w:noProof w:val="0"/>
              </w:rPr>
            </w:pPr>
            <w:r w:rsidRPr="00BD302C">
              <w:rPr>
                <w:b/>
                <w:noProof w:val="0"/>
              </w:rPr>
              <w:lastRenderedPageBreak/>
              <w:t>Collectiv-a</w:t>
            </w:r>
          </w:p>
        </w:tc>
        <w:tc>
          <w:tcPr>
            <w:tcW w:w="2835" w:type="dxa"/>
            <w:hideMark/>
          </w:tcPr>
          <w:p w14:paraId="5EAAF2DE" w14:textId="77777777" w:rsidR="00E52974" w:rsidRPr="00BD302C" w:rsidRDefault="00E52974">
            <w:pPr>
              <w:rPr>
                <w:noProof w:val="0"/>
              </w:rPr>
            </w:pPr>
            <w:r w:rsidRPr="00BD302C">
              <w:rPr>
                <w:noProof w:val="0"/>
              </w:rPr>
              <w:t xml:space="preserve">La Mutu </w:t>
            </w:r>
          </w:p>
        </w:tc>
        <w:tc>
          <w:tcPr>
            <w:tcW w:w="5812" w:type="dxa"/>
            <w:hideMark/>
          </w:tcPr>
          <w:p w14:paraId="5F34281B" w14:textId="0ECD7B88" w:rsidR="00E52974" w:rsidRPr="00BD302C" w:rsidRDefault="00E52974">
            <w:pPr>
              <w:rPr>
                <w:noProof w:val="0"/>
              </w:rPr>
            </w:pPr>
            <w:r w:rsidRPr="00BD302C">
              <w:rPr>
                <w:noProof w:val="0"/>
              </w:rPr>
              <w:t xml:space="preserve">La Mutu is een community van organisaties met gedeeld bestuur* (zie verklarende woordenlijst in bijlage) in de gezondheidssector. </w:t>
            </w:r>
            <w:r w:rsidRPr="00BD302C">
              <w:rPr>
                <w:noProof w:val="0"/>
              </w:rPr>
              <w:br/>
            </w:r>
            <w:r w:rsidRPr="00BD302C">
              <w:rPr>
                <w:noProof w:val="0"/>
              </w:rPr>
              <w:br/>
              <w:t xml:space="preserve">Enerzijds maakt die community delen en uitwisselen tussen de organisaties mogelijk, anderzijds laat ze toe om gemeenschappelijke problemen* (zie verklarende woordenlijst in bijlage) in verband met bestuur te identificeren en werkt ze samen met collectiv-a aan de ontwikkeling van modellen* (zie verklarende woordenlijst in bijlage) om hierop een antwoord te bieden. </w:t>
            </w:r>
            <w:r w:rsidRPr="00BD302C">
              <w:rPr>
                <w:noProof w:val="0"/>
              </w:rPr>
              <w:br/>
            </w:r>
            <w:r w:rsidRPr="00BD302C">
              <w:rPr>
                <w:noProof w:val="0"/>
              </w:rPr>
              <w:br/>
              <w:t xml:space="preserve">Tijdens het PYSI-project zullen we ons concentreren op organisaties met de volgende kenmerken: actief in de gezondheidssector en met multidisciplinair karakter, tussen de 5 en 50 werknemers, minstens 1 jaar </w:t>
            </w:r>
            <w:r w:rsidR="00E0458E" w:rsidRPr="00BD302C">
              <w:rPr>
                <w:noProof w:val="0"/>
              </w:rPr>
              <w:t>oud</w:t>
            </w:r>
            <w:r w:rsidRPr="00BD302C">
              <w:rPr>
                <w:noProof w:val="0"/>
              </w:rPr>
              <w:t xml:space="preserve">, werken met gedeeld bestuur en gevestigd in het Brussels Gewest. </w:t>
            </w:r>
          </w:p>
        </w:tc>
      </w:tr>
      <w:tr w:rsidR="003D431D" w:rsidRPr="00BD302C" w14:paraId="7F925122" w14:textId="77777777" w:rsidTr="00E52974">
        <w:trPr>
          <w:trHeight w:val="4200"/>
        </w:trPr>
        <w:tc>
          <w:tcPr>
            <w:tcW w:w="1843" w:type="dxa"/>
            <w:hideMark/>
          </w:tcPr>
          <w:p w14:paraId="0E490DE2" w14:textId="77777777" w:rsidR="003D431D" w:rsidRPr="00BD302C" w:rsidRDefault="003D431D" w:rsidP="003D431D">
            <w:pPr>
              <w:rPr>
                <w:b/>
                <w:bCs/>
                <w:noProof w:val="0"/>
              </w:rPr>
            </w:pPr>
            <w:r w:rsidRPr="00BD302C">
              <w:rPr>
                <w:b/>
                <w:noProof w:val="0"/>
              </w:rPr>
              <w:t>Communa</w:t>
            </w:r>
          </w:p>
        </w:tc>
        <w:tc>
          <w:tcPr>
            <w:tcW w:w="2835" w:type="dxa"/>
            <w:hideMark/>
          </w:tcPr>
          <w:p w14:paraId="23A643B0" w14:textId="3D845D5A" w:rsidR="003D431D" w:rsidRPr="003D431D" w:rsidRDefault="003D431D" w:rsidP="003D431D">
            <w:pPr>
              <w:rPr>
                <w:noProof w:val="0"/>
                <w:lang w:val="fr-BE"/>
              </w:rPr>
            </w:pPr>
            <w:r w:rsidRPr="003D431D">
              <w:rPr>
                <w:lang w:val="fr-BE"/>
              </w:rPr>
              <w:t>Accompagnement des propriétaires de bâtiments vides à les transformer en hub d’hébergement d’urgence</w:t>
            </w:r>
          </w:p>
        </w:tc>
        <w:tc>
          <w:tcPr>
            <w:tcW w:w="5812" w:type="dxa"/>
            <w:hideMark/>
          </w:tcPr>
          <w:p w14:paraId="3C7F6D56" w14:textId="2C1205CD" w:rsidR="003D431D" w:rsidRPr="00BD302C" w:rsidRDefault="003D431D" w:rsidP="003D431D">
            <w:pPr>
              <w:rPr>
                <w:noProof w:val="0"/>
              </w:rPr>
            </w:pPr>
            <w:r w:rsidRPr="00BD302C">
              <w:rPr>
                <w:noProof w:val="0"/>
              </w:rPr>
              <w:t>Communa werkt al een aantal jaar, via de tijdelijke bewoning voor sociale doeleinden, aan de ontwikkeling van een innovatief model dat een antwoord moet bieden op de gevolgen van de huisvestingscrisis in het BHG. Door het overheidsbeleid, de actoren van de tijdelijke bewoning voor sociale doeleinden en de eigenaars van leegstaande gebouwen met elkaar te verbinden</w:t>
            </w:r>
            <w:r w:rsidR="00D30025">
              <w:rPr>
                <w:noProof w:val="0"/>
              </w:rPr>
              <w:t>,</w:t>
            </w:r>
            <w:r w:rsidRPr="00BD302C">
              <w:rPr>
                <w:noProof w:val="0"/>
              </w:rPr>
              <w:t xml:space="preserve"> heeft de stad meer mogelijkheden dan men denkt om te antwoorden op de huisvestingscrisis, of het nu gaat om noodopvang of woningnood. </w:t>
            </w:r>
            <w:r w:rsidRPr="00BD302C">
              <w:rPr>
                <w:noProof w:val="0"/>
              </w:rPr>
              <w:br/>
              <w:t xml:space="preserve">Communa biedt, op basis van zijn jarenlange ervaring en experimenten, opleidingen en advies voor de relevante actoren die kunnen bijdragen aan een verbetering van de huisvestings- en opvangsituatie in Brussel, om van het BHG een modelhoofdstad te maken die inspirerend is voor deze kwestie. </w:t>
            </w:r>
            <w:r w:rsidRPr="00BD302C">
              <w:rPr>
                <w:noProof w:val="0"/>
              </w:rPr>
              <w:br/>
              <w:t xml:space="preserve">Communa biedt adviesdiensten voor overheids- en particuliere eigenaars, en opleidingen bij bestaande of toekomstige operatoren van de tijdelijke bewoning voor sociale doeleinden, om een toename te bevorderen van hybride en innovatieve projecten voor huisvesting en opvang, die aangepast zijn aan de realiteit in het BHG en aan de hedendaagse uitdagingen. </w:t>
            </w:r>
          </w:p>
        </w:tc>
      </w:tr>
      <w:tr w:rsidR="00E52974" w:rsidRPr="00BD302C" w14:paraId="3717827D" w14:textId="77777777" w:rsidTr="00E52974">
        <w:trPr>
          <w:trHeight w:val="2400"/>
        </w:trPr>
        <w:tc>
          <w:tcPr>
            <w:tcW w:w="1843" w:type="dxa"/>
            <w:hideMark/>
          </w:tcPr>
          <w:p w14:paraId="2B3F7DD6" w14:textId="77777777" w:rsidR="00E52974" w:rsidRPr="00BD302C" w:rsidRDefault="00E52974">
            <w:pPr>
              <w:rPr>
                <w:b/>
                <w:bCs/>
                <w:noProof w:val="0"/>
              </w:rPr>
            </w:pPr>
            <w:r w:rsidRPr="00BD302C">
              <w:rPr>
                <w:b/>
                <w:noProof w:val="0"/>
              </w:rPr>
              <w:t>Le Début des Haricots</w:t>
            </w:r>
          </w:p>
        </w:tc>
        <w:tc>
          <w:tcPr>
            <w:tcW w:w="2835" w:type="dxa"/>
            <w:hideMark/>
          </w:tcPr>
          <w:p w14:paraId="533025B3" w14:textId="77777777" w:rsidR="003D431D" w:rsidRPr="003D431D" w:rsidRDefault="00E52974" w:rsidP="003D431D">
            <w:pPr>
              <w:rPr>
                <w:noProof w:val="0"/>
                <w:lang w:val="nl-BE"/>
              </w:rPr>
            </w:pPr>
            <w:r w:rsidRPr="00BD302C">
              <w:rPr>
                <w:noProof w:val="0"/>
              </w:rPr>
              <w:t>E</w:t>
            </w:r>
            <w:r w:rsidR="003D431D" w:rsidRPr="003D431D">
              <w:rPr>
                <w:noProof w:val="0"/>
                <w:lang w:val="nl-BE"/>
              </w:rPr>
              <w:t xml:space="preserve">Test d’activité agricole </w:t>
            </w:r>
          </w:p>
          <w:p w14:paraId="792334DE" w14:textId="77777777" w:rsidR="003D431D" w:rsidRPr="003D431D" w:rsidRDefault="003D431D" w:rsidP="003D431D">
            <w:pPr>
              <w:rPr>
                <w:noProof w:val="0"/>
                <w:lang w:val="nl-BE"/>
              </w:rPr>
            </w:pPr>
            <w:r w:rsidRPr="003D431D">
              <w:rPr>
                <w:noProof w:val="0"/>
                <w:lang w:val="nl-BE"/>
              </w:rPr>
              <w:t>en îlot</w:t>
            </w:r>
          </w:p>
          <w:p w14:paraId="3DCB5794" w14:textId="56B0179E" w:rsidR="00E52974" w:rsidRPr="00BD302C" w:rsidRDefault="00E52974">
            <w:pPr>
              <w:rPr>
                <w:noProof w:val="0"/>
              </w:rPr>
            </w:pPr>
          </w:p>
        </w:tc>
        <w:tc>
          <w:tcPr>
            <w:tcW w:w="5812" w:type="dxa"/>
            <w:hideMark/>
          </w:tcPr>
          <w:p w14:paraId="3CEBA4A1" w14:textId="624A3AD2" w:rsidR="00E52974" w:rsidRPr="00BD302C" w:rsidRDefault="00E52974">
            <w:pPr>
              <w:rPr>
                <w:noProof w:val="0"/>
              </w:rPr>
            </w:pPr>
            <w:r w:rsidRPr="00BD302C">
              <w:rPr>
                <w:noProof w:val="0"/>
              </w:rPr>
              <w:t>De testruimte 'Graines de Paysans', van de vzw Début des Haricots begeleidt Brusselaars die geen landbouwachtergrond hebben (</w:t>
            </w:r>
            <w:r w:rsidRPr="00BD302C">
              <w:rPr>
                <w:i/>
                <w:iCs/>
                <w:noProof w:val="0"/>
              </w:rPr>
              <w:t>NIMAculteur.ice.s -  non issu.e.s. du milieu agricole</w:t>
            </w:r>
            <w:r w:rsidRPr="00BD302C">
              <w:rPr>
                <w:noProof w:val="0"/>
              </w:rPr>
              <w:t xml:space="preserve">) bij de geleidelijke ontwikkeling van hun activiteit. De testruimte </w:t>
            </w:r>
            <w:r w:rsidR="007E27AE">
              <w:rPr>
                <w:noProof w:val="0"/>
              </w:rPr>
              <w:t>laat hen toe hun landbouwmodel -</w:t>
            </w:r>
            <w:r w:rsidRPr="00BD302C">
              <w:rPr>
                <w:noProof w:val="0"/>
              </w:rPr>
              <w:t xml:space="preserve"> dat leefbaar is en in evenwicht met het sociale en natuurlijke milieu</w:t>
            </w:r>
            <w:r w:rsidR="007E27AE">
              <w:rPr>
                <w:noProof w:val="0"/>
              </w:rPr>
              <w:t xml:space="preserve"> - </w:t>
            </w:r>
            <w:r w:rsidRPr="00BD302C">
              <w:rPr>
                <w:noProof w:val="0"/>
              </w:rPr>
              <w:t>te testen in een veilige omgeving</w:t>
            </w:r>
            <w:r w:rsidR="007E27AE">
              <w:rPr>
                <w:noProof w:val="0"/>
              </w:rPr>
              <w:t xml:space="preserve">. Het doel is om een </w:t>
            </w:r>
            <w:r w:rsidRPr="00BD302C">
              <w:rPr>
                <w:noProof w:val="0"/>
              </w:rPr>
              <w:t xml:space="preserve">blijvende en zelfstandige activiteit </w:t>
            </w:r>
            <w:r w:rsidR="007E27AE">
              <w:rPr>
                <w:noProof w:val="0"/>
              </w:rPr>
              <w:t xml:space="preserve">op te zetten. </w:t>
            </w:r>
            <w:r w:rsidRPr="00BD302C">
              <w:rPr>
                <w:noProof w:val="0"/>
              </w:rPr>
              <w:t xml:space="preserve"> </w:t>
            </w:r>
            <w:r w:rsidR="007E27AE">
              <w:rPr>
                <w:noProof w:val="0"/>
              </w:rPr>
              <w:t xml:space="preserve">Tijdens deze testperiode krijgen de telers </w:t>
            </w:r>
            <w:r w:rsidRPr="00BD302C">
              <w:rPr>
                <w:noProof w:val="0"/>
              </w:rPr>
              <w:t xml:space="preserve">productiemiddelen </w:t>
            </w:r>
            <w:r w:rsidR="007E27AE">
              <w:rPr>
                <w:noProof w:val="0"/>
              </w:rPr>
              <w:t>en</w:t>
            </w:r>
            <w:r w:rsidRPr="00BD302C">
              <w:rPr>
                <w:noProof w:val="0"/>
              </w:rPr>
              <w:t xml:space="preserve"> is er een begeleidingstraject </w:t>
            </w:r>
            <w:r w:rsidRPr="00BD302C">
              <w:rPr>
                <w:noProof w:val="0"/>
              </w:rPr>
              <w:lastRenderedPageBreak/>
              <w:t>(technische aspecten, leefbaarheid, commercialisering, groepsdynamiek enz.).</w:t>
            </w:r>
          </w:p>
        </w:tc>
      </w:tr>
      <w:tr w:rsidR="00E52974" w:rsidRPr="00BD302C" w14:paraId="520E60F9" w14:textId="77777777" w:rsidTr="00E52974">
        <w:trPr>
          <w:trHeight w:val="4200"/>
        </w:trPr>
        <w:tc>
          <w:tcPr>
            <w:tcW w:w="1843" w:type="dxa"/>
            <w:hideMark/>
          </w:tcPr>
          <w:p w14:paraId="1BF5D2A0" w14:textId="7A8A69ED" w:rsidR="00E52974" w:rsidRPr="00BD302C" w:rsidRDefault="00E52974">
            <w:pPr>
              <w:rPr>
                <w:b/>
                <w:bCs/>
                <w:noProof w:val="0"/>
              </w:rPr>
            </w:pPr>
            <w:r w:rsidRPr="00BD302C">
              <w:rPr>
                <w:b/>
                <w:noProof w:val="0"/>
              </w:rPr>
              <w:lastRenderedPageBreak/>
              <w:t>Green Fabri</w:t>
            </w:r>
            <w:r w:rsidR="00BD302C" w:rsidRPr="00BD302C">
              <w:rPr>
                <w:b/>
                <w:noProof w:val="0"/>
              </w:rPr>
              <w:t>c</w:t>
            </w:r>
          </w:p>
        </w:tc>
        <w:tc>
          <w:tcPr>
            <w:tcW w:w="2835" w:type="dxa"/>
            <w:hideMark/>
          </w:tcPr>
          <w:p w14:paraId="409DF61A" w14:textId="77777777" w:rsidR="00E52974" w:rsidRPr="00BD302C" w:rsidRDefault="00E52974">
            <w:pPr>
              <w:rPr>
                <w:noProof w:val="0"/>
              </w:rPr>
            </w:pPr>
            <w:r w:rsidRPr="00BD302C">
              <w:rPr>
                <w:noProof w:val="0"/>
              </w:rPr>
              <w:t>Precious Fibers</w:t>
            </w:r>
          </w:p>
        </w:tc>
        <w:tc>
          <w:tcPr>
            <w:tcW w:w="5812" w:type="dxa"/>
            <w:hideMark/>
          </w:tcPr>
          <w:p w14:paraId="06F72335" w14:textId="27E0DCCA" w:rsidR="00E52974" w:rsidRPr="00BD302C" w:rsidRDefault="00E52974">
            <w:pPr>
              <w:rPr>
                <w:noProof w:val="0"/>
              </w:rPr>
            </w:pPr>
            <w:r w:rsidRPr="00BD302C">
              <w:rPr>
                <w:noProof w:val="0"/>
              </w:rPr>
              <w:t>Project om vilt te maken van textielafval en ruwe wol.</w:t>
            </w:r>
            <w:r w:rsidRPr="00BD302C">
              <w:rPr>
                <w:noProof w:val="0"/>
              </w:rPr>
              <w:br/>
            </w:r>
            <w:r w:rsidRPr="00BD302C">
              <w:rPr>
                <w:noProof w:val="0"/>
              </w:rPr>
              <w:br/>
            </w:r>
            <w:r w:rsidR="00E82B65" w:rsidRPr="00BD302C">
              <w:rPr>
                <w:noProof w:val="0"/>
              </w:rPr>
              <w:t>Om</w:t>
            </w:r>
            <w:r w:rsidRPr="00BD302C">
              <w:rPr>
                <w:noProof w:val="0"/>
              </w:rPr>
              <w:t xml:space="preserve"> natuurlijke hulpbronnen</w:t>
            </w:r>
            <w:r w:rsidR="00E82B65" w:rsidRPr="00BD302C">
              <w:rPr>
                <w:noProof w:val="0"/>
              </w:rPr>
              <w:t xml:space="preserve"> te besparen</w:t>
            </w:r>
            <w:r w:rsidRPr="00BD302C">
              <w:rPr>
                <w:noProof w:val="0"/>
              </w:rPr>
              <w:t>, afval</w:t>
            </w:r>
            <w:r w:rsidR="00E82B65" w:rsidRPr="00BD302C">
              <w:rPr>
                <w:noProof w:val="0"/>
              </w:rPr>
              <w:t xml:space="preserve"> te </w:t>
            </w:r>
            <w:r w:rsidRPr="00BD302C">
              <w:rPr>
                <w:noProof w:val="0"/>
              </w:rPr>
              <w:t>verminder</w:t>
            </w:r>
            <w:r w:rsidR="00E82B65" w:rsidRPr="00BD302C">
              <w:rPr>
                <w:noProof w:val="0"/>
              </w:rPr>
              <w:t>en</w:t>
            </w:r>
            <w:r w:rsidRPr="00BD302C">
              <w:rPr>
                <w:noProof w:val="0"/>
              </w:rPr>
              <w:t xml:space="preserve">, </w:t>
            </w:r>
            <w:r w:rsidR="00D24BE2">
              <w:rPr>
                <w:noProof w:val="0"/>
              </w:rPr>
              <w:t xml:space="preserve">en </w:t>
            </w:r>
            <w:r w:rsidRPr="00BD302C">
              <w:rPr>
                <w:noProof w:val="0"/>
              </w:rPr>
              <w:t>middelen</w:t>
            </w:r>
            <w:r w:rsidR="00BD302C" w:rsidRPr="00BD302C">
              <w:rPr>
                <w:noProof w:val="0"/>
              </w:rPr>
              <w:t>,</w:t>
            </w:r>
            <w:r w:rsidRPr="00BD302C">
              <w:rPr>
                <w:noProof w:val="0"/>
              </w:rPr>
              <w:t xml:space="preserve"> kennis en ervaring</w:t>
            </w:r>
            <w:r w:rsidR="00BD302C" w:rsidRPr="00BD302C">
              <w:rPr>
                <w:noProof w:val="0"/>
              </w:rPr>
              <w:t xml:space="preserve"> te delen</w:t>
            </w:r>
            <w:r w:rsidRPr="00BD302C">
              <w:rPr>
                <w:noProof w:val="0"/>
              </w:rPr>
              <w:t xml:space="preserve"> om de ecologische transitie te ondersteunen, is het doel van dit project:</w:t>
            </w:r>
            <w:r w:rsidRPr="00BD302C">
              <w:rPr>
                <w:noProof w:val="0"/>
              </w:rPr>
              <w:br/>
              <w:t>- een mechanisch proces</w:t>
            </w:r>
            <w:r w:rsidR="00BD302C" w:rsidRPr="00BD302C">
              <w:rPr>
                <w:noProof w:val="0"/>
              </w:rPr>
              <w:t xml:space="preserve"> te</w:t>
            </w:r>
            <w:r w:rsidRPr="00BD302C">
              <w:rPr>
                <w:noProof w:val="0"/>
              </w:rPr>
              <w:t xml:space="preserve"> ontwikkelen voor de vervaardiging van viltpanelen uit textielafval en ruwe schapenwol die momenteel niet wordt gebruikt en wettelijk als afval wordt beschouwd</w:t>
            </w:r>
            <w:r w:rsidRPr="00BD302C">
              <w:rPr>
                <w:noProof w:val="0"/>
              </w:rPr>
              <w:br/>
              <w:t>- de machines voor dat proces</w:t>
            </w:r>
            <w:r w:rsidR="00BD302C" w:rsidRPr="00BD302C">
              <w:rPr>
                <w:noProof w:val="0"/>
              </w:rPr>
              <w:t xml:space="preserve"> te</w:t>
            </w:r>
            <w:r w:rsidRPr="00BD302C">
              <w:rPr>
                <w:noProof w:val="0"/>
              </w:rPr>
              <w:t xml:space="preserve"> ontwikkelen en </w:t>
            </w:r>
            <w:r w:rsidR="00BD302C" w:rsidRPr="00BD302C">
              <w:rPr>
                <w:noProof w:val="0"/>
              </w:rPr>
              <w:t xml:space="preserve">te </w:t>
            </w:r>
            <w:r w:rsidRPr="00BD302C">
              <w:rPr>
                <w:noProof w:val="0"/>
              </w:rPr>
              <w:t xml:space="preserve">bouwen en de bouwplannen van die machines, evenals de details van het proces, openbaar beschikbaar </w:t>
            </w:r>
            <w:r w:rsidR="00A33556">
              <w:rPr>
                <w:noProof w:val="0"/>
              </w:rPr>
              <w:t xml:space="preserve">te </w:t>
            </w:r>
            <w:r w:rsidRPr="00BD302C">
              <w:rPr>
                <w:noProof w:val="0"/>
              </w:rPr>
              <w:t>stellen</w:t>
            </w:r>
            <w:r w:rsidRPr="00BD302C">
              <w:rPr>
                <w:noProof w:val="0"/>
              </w:rPr>
              <w:br/>
              <w:t xml:space="preserve">- de mogelijkheid en </w:t>
            </w:r>
            <w:r w:rsidR="00D24BE2">
              <w:rPr>
                <w:noProof w:val="0"/>
              </w:rPr>
              <w:t>levensvatbaarheid</w:t>
            </w:r>
            <w:r w:rsidRPr="00BD302C">
              <w:rPr>
                <w:noProof w:val="0"/>
              </w:rPr>
              <w:t xml:space="preserve"> van een lokale viltfabriek </w:t>
            </w:r>
            <w:r w:rsidR="00BD302C" w:rsidRPr="00BD302C">
              <w:rPr>
                <w:noProof w:val="0"/>
              </w:rPr>
              <w:t xml:space="preserve">te </w:t>
            </w:r>
            <w:r w:rsidRPr="00BD302C">
              <w:rPr>
                <w:noProof w:val="0"/>
              </w:rPr>
              <w:t>evalueren, waar ook personen met een handicap in het team zijn opgenomen.</w:t>
            </w:r>
          </w:p>
        </w:tc>
      </w:tr>
      <w:tr w:rsidR="003D431D" w:rsidRPr="00BD302C" w14:paraId="11D05333" w14:textId="77777777" w:rsidTr="00E52974">
        <w:trPr>
          <w:trHeight w:val="2700"/>
        </w:trPr>
        <w:tc>
          <w:tcPr>
            <w:tcW w:w="1843" w:type="dxa"/>
            <w:hideMark/>
          </w:tcPr>
          <w:p w14:paraId="0CAB1D8E" w14:textId="77777777" w:rsidR="003D431D" w:rsidRPr="00BD302C" w:rsidRDefault="003D431D" w:rsidP="003D431D">
            <w:pPr>
              <w:rPr>
                <w:b/>
                <w:bCs/>
                <w:noProof w:val="0"/>
              </w:rPr>
            </w:pPr>
            <w:r w:rsidRPr="00BD302C">
              <w:rPr>
                <w:b/>
                <w:noProof w:val="0"/>
              </w:rPr>
              <w:t>PLOUF</w:t>
            </w:r>
          </w:p>
        </w:tc>
        <w:tc>
          <w:tcPr>
            <w:tcW w:w="2835" w:type="dxa"/>
            <w:hideMark/>
          </w:tcPr>
          <w:p w14:paraId="1B99960C" w14:textId="7AA406BD" w:rsidR="003D431D" w:rsidRPr="003D431D" w:rsidRDefault="003D431D" w:rsidP="003D431D">
            <w:pPr>
              <w:rPr>
                <w:noProof w:val="0"/>
                <w:lang w:val="fr-BE"/>
              </w:rPr>
            </w:pPr>
            <w:r w:rsidRPr="003D431D">
              <w:rPr>
                <w:lang w:val="fr-BE"/>
              </w:rPr>
              <w:t>Café-laverie social | Installation d’un café-laverie dans les anciennes cliniques Sainte-Anne en cours de rénovation par Raphaël asbl à Anderlecht</w:t>
            </w:r>
          </w:p>
        </w:tc>
        <w:tc>
          <w:tcPr>
            <w:tcW w:w="5812" w:type="dxa"/>
            <w:hideMark/>
          </w:tcPr>
          <w:p w14:paraId="6E1E0C72" w14:textId="387F80EF" w:rsidR="003D431D" w:rsidRPr="00BD302C" w:rsidRDefault="003D431D" w:rsidP="003D431D">
            <w:pPr>
              <w:rPr>
                <w:noProof w:val="0"/>
              </w:rPr>
            </w:pPr>
            <w:r w:rsidRPr="00BD302C">
              <w:rPr>
                <w:noProof w:val="0"/>
              </w:rPr>
              <w:t xml:space="preserve">De vzw PLOUF wil kwetsbare mensen een gemakkelijker toegang tot hygiëne bieden en wasserijen opnieuw hun verbindende rol laten spelen in een buurt. </w:t>
            </w:r>
            <w:r w:rsidRPr="00BD302C">
              <w:rPr>
                <w:noProof w:val="0"/>
              </w:rPr>
              <w:br/>
              <w:t xml:space="preserve">Hiervoor ontwikkelen we ruimtes waar toestellen als wasmachines worden gedeeld, maar die ook een ontmoetingsplek zijn waar mensen een koffie kunnen drinken en kunnen deelnemen aan activiteiten die de emancipatie en het welzijn bevorderen. </w:t>
            </w:r>
            <w:r w:rsidRPr="00BD302C">
              <w:rPr>
                <w:noProof w:val="0"/>
              </w:rPr>
              <w:br/>
              <w:t>Na de lancering van een eerste project in Evere streven we nu naar de ontwikkeling van een gebruiksklare oplossing voor de SVK's, OVM's en meer algemeen voor iedereen die ruimtes wil installeren waar uitrustingen worden gedeeld en die een hoge sociale waarde hebben.</w:t>
            </w:r>
          </w:p>
        </w:tc>
      </w:tr>
      <w:tr w:rsidR="003D431D" w:rsidRPr="00BD302C" w14:paraId="5C2E70B7" w14:textId="77777777" w:rsidTr="00E52974">
        <w:trPr>
          <w:trHeight w:val="2100"/>
        </w:trPr>
        <w:tc>
          <w:tcPr>
            <w:tcW w:w="1843" w:type="dxa"/>
            <w:hideMark/>
          </w:tcPr>
          <w:p w14:paraId="001480A8" w14:textId="77777777" w:rsidR="003D431D" w:rsidRPr="00BD302C" w:rsidRDefault="003D431D" w:rsidP="003D431D">
            <w:pPr>
              <w:rPr>
                <w:b/>
                <w:bCs/>
                <w:noProof w:val="0"/>
              </w:rPr>
            </w:pPr>
            <w:r w:rsidRPr="00BD302C">
              <w:rPr>
                <w:b/>
                <w:noProof w:val="0"/>
              </w:rPr>
              <w:t>brupower</w:t>
            </w:r>
          </w:p>
        </w:tc>
        <w:tc>
          <w:tcPr>
            <w:tcW w:w="2835" w:type="dxa"/>
            <w:hideMark/>
          </w:tcPr>
          <w:p w14:paraId="2D985831" w14:textId="07EE75FA" w:rsidR="003D431D" w:rsidRPr="003D431D" w:rsidRDefault="003D431D" w:rsidP="003D431D">
            <w:pPr>
              <w:rPr>
                <w:noProof w:val="0"/>
                <w:lang w:val="fr-BE"/>
              </w:rPr>
            </w:pPr>
            <w:r w:rsidRPr="003D431D">
              <w:rPr>
                <w:lang w:val="fr-BE"/>
              </w:rPr>
              <w:t>brupower : du partage d’énergie vers la fourniture citoyenne, locale et renouvelable à Bruxelles</w:t>
            </w:r>
          </w:p>
        </w:tc>
        <w:tc>
          <w:tcPr>
            <w:tcW w:w="5812" w:type="dxa"/>
            <w:hideMark/>
          </w:tcPr>
          <w:p w14:paraId="487C1B41" w14:textId="77777777" w:rsidR="003D431D" w:rsidRPr="00BD302C" w:rsidRDefault="003D431D" w:rsidP="003D431D">
            <w:pPr>
              <w:rPr>
                <w:noProof w:val="0"/>
              </w:rPr>
            </w:pPr>
            <w:r w:rsidRPr="00BD302C">
              <w:rPr>
                <w:noProof w:val="0"/>
              </w:rPr>
              <w:t xml:space="preserve">De burgercoöperatie brupower wil een nieuwe dienst onderzoeken om groene, hernieuwbare burgerstroom te leveren in het Brussels Gewest. De dienst zal gebaseerd zijn op de ervaring die brupower heeft opgedaan via de deelprojecten binnen de energiegemeenschappen die momenteel worden ontwikkeld in het Gewest. De nieuwe dienst zal worden ontwikkeld samen met de Brusselaars waardoor ze aangepast zal zijn aan de gewoonten van gezinnen en voldoen aan noodzakelijke eisen voor een milieu- en sociale transitie. </w:t>
            </w:r>
          </w:p>
        </w:tc>
      </w:tr>
      <w:tr w:rsidR="003D431D" w:rsidRPr="003D431D" w14:paraId="0207A0B3" w14:textId="77777777" w:rsidTr="00E52974">
        <w:trPr>
          <w:trHeight w:val="3600"/>
        </w:trPr>
        <w:tc>
          <w:tcPr>
            <w:tcW w:w="1843" w:type="dxa"/>
            <w:hideMark/>
          </w:tcPr>
          <w:p w14:paraId="7CA71017" w14:textId="77777777" w:rsidR="003D431D" w:rsidRPr="00BD302C" w:rsidRDefault="003D431D" w:rsidP="003D431D">
            <w:pPr>
              <w:rPr>
                <w:b/>
                <w:bCs/>
                <w:noProof w:val="0"/>
              </w:rPr>
            </w:pPr>
            <w:r w:rsidRPr="00BD302C">
              <w:rPr>
                <w:b/>
                <w:bCs/>
                <w:noProof w:val="0"/>
              </w:rPr>
              <w:lastRenderedPageBreak/>
              <w:t>Pensions for Change</w:t>
            </w:r>
          </w:p>
        </w:tc>
        <w:tc>
          <w:tcPr>
            <w:tcW w:w="2835" w:type="dxa"/>
            <w:hideMark/>
          </w:tcPr>
          <w:p w14:paraId="30214CF9" w14:textId="77777777" w:rsidR="003D431D" w:rsidRPr="003D431D" w:rsidRDefault="003D431D" w:rsidP="003D431D">
            <w:pPr>
              <w:rPr>
                <w:noProof w:val="0"/>
                <w:lang w:val="en-US"/>
              </w:rPr>
            </w:pPr>
            <w:r w:rsidRPr="003D431D">
              <w:rPr>
                <w:noProof w:val="0"/>
                <w:lang w:val="en-US"/>
              </w:rPr>
              <w:t>Making pension money serve social and sustainable real estate</w:t>
            </w:r>
          </w:p>
        </w:tc>
        <w:tc>
          <w:tcPr>
            <w:tcW w:w="5812" w:type="dxa"/>
            <w:hideMark/>
          </w:tcPr>
          <w:p w14:paraId="0892C7CC" w14:textId="73F3F9E1" w:rsidR="003D431D" w:rsidRPr="003D431D" w:rsidRDefault="003D431D" w:rsidP="003D431D">
            <w:pPr>
              <w:rPr>
                <w:noProof w:val="0"/>
                <w:lang w:val="nl-BE"/>
              </w:rPr>
            </w:pPr>
            <w:r w:rsidRPr="00ED26BB">
              <w:t>Pensions for Change is een ambitieus project dat een echte systemische impact wil maken door gebruik te maken van het hefboomeffect van pensioengeld. 5 tot 10% van de 200 miljard euro in Belgische pensioencontracten wordt geïnvesteerd in vastgoed, voornamelijk in beursgenoteerde activa van bedrijven die torenhoge prijzen veroorzaken in steden als Brussel, omwille van hun speculatief gedrag. Aan de andere kant hebben steeds meer mensen het moeilijk om een betaalbare woning te vinden. Een stadsontwikkeling die bijdraagt tot groene, gezonde en inclusieve buurten wordt ondergeschikt aan de macht van geld (dat proces wordt financialisering genoemd). Pensions for Change wil het noodzakelijke onderzoek voeren om een vastgoedfonds te ontwikkelen dat zou bestaan uit een pool van alternatieven, zoals wooncoöperaties, sociale huisvestingsmaatschappijen, fondsen voor stadsontwikkeling die even sterk gericht zijn op maatschappelijk als financieel rendement. Dat dakfonds zal groot genoeg zijn om pensioeninstellingen de mogelijkheid te bieden te investeren in lokaal, duurzaam vastgoed voor veerkrachtige buurten.</w:t>
            </w:r>
          </w:p>
        </w:tc>
      </w:tr>
    </w:tbl>
    <w:p w14:paraId="44830F83" w14:textId="77777777" w:rsidR="006B37CE" w:rsidRPr="003D431D" w:rsidRDefault="006B37CE">
      <w:pPr>
        <w:rPr>
          <w:noProof w:val="0"/>
          <w:lang w:val="nl-BE"/>
        </w:rPr>
      </w:pPr>
    </w:p>
    <w:sectPr w:rsidR="006B37CE" w:rsidRPr="003D43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65"/>
    <w:rsid w:val="000C5418"/>
    <w:rsid w:val="000D70CE"/>
    <w:rsid w:val="000E6219"/>
    <w:rsid w:val="002E36E9"/>
    <w:rsid w:val="003D431D"/>
    <w:rsid w:val="004729BD"/>
    <w:rsid w:val="0050419C"/>
    <w:rsid w:val="00660820"/>
    <w:rsid w:val="006B37CE"/>
    <w:rsid w:val="007E27AE"/>
    <w:rsid w:val="008A1AF5"/>
    <w:rsid w:val="00992FA9"/>
    <w:rsid w:val="00A33556"/>
    <w:rsid w:val="00BD302C"/>
    <w:rsid w:val="00C07D7D"/>
    <w:rsid w:val="00C46E4A"/>
    <w:rsid w:val="00D24BE2"/>
    <w:rsid w:val="00D30025"/>
    <w:rsid w:val="00E01877"/>
    <w:rsid w:val="00E0458E"/>
    <w:rsid w:val="00E52974"/>
    <w:rsid w:val="00E82B65"/>
    <w:rsid w:val="00EF720A"/>
    <w:rsid w:val="00F50465"/>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B1D41"/>
  <w15:chartTrackingRefBased/>
  <w15:docId w15:val="{2E8551BD-CD4B-4CB6-B84A-8C31B0AC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paragraph" w:styleId="Kop1">
    <w:name w:val="heading 1"/>
    <w:basedOn w:val="Standaard"/>
    <w:next w:val="Standaard"/>
    <w:link w:val="Kop1Char"/>
    <w:uiPriority w:val="9"/>
    <w:qFormat/>
    <w:rsid w:val="00F504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04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04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04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04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04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04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04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04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0465"/>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semiHidden/>
    <w:rsid w:val="00F50465"/>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semiHidden/>
    <w:rsid w:val="00F50465"/>
    <w:rPr>
      <w:rFonts w:eastAsiaTheme="majorEastAsia"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F50465"/>
    <w:rPr>
      <w:rFonts w:eastAsiaTheme="majorEastAsia" w:cstheme="majorBidi"/>
      <w:i/>
      <w:iCs/>
      <w:noProof/>
      <w:color w:val="0F4761" w:themeColor="accent1" w:themeShade="BF"/>
    </w:rPr>
  </w:style>
  <w:style w:type="character" w:customStyle="1" w:styleId="Kop5Char">
    <w:name w:val="Kop 5 Char"/>
    <w:basedOn w:val="Standaardalinea-lettertype"/>
    <w:link w:val="Kop5"/>
    <w:uiPriority w:val="9"/>
    <w:semiHidden/>
    <w:rsid w:val="00F50465"/>
    <w:rPr>
      <w:rFonts w:eastAsiaTheme="majorEastAsia" w:cstheme="majorBidi"/>
      <w:noProof/>
      <w:color w:val="0F4761" w:themeColor="accent1" w:themeShade="BF"/>
    </w:rPr>
  </w:style>
  <w:style w:type="character" w:customStyle="1" w:styleId="Kop6Char">
    <w:name w:val="Kop 6 Char"/>
    <w:basedOn w:val="Standaardalinea-lettertype"/>
    <w:link w:val="Kop6"/>
    <w:uiPriority w:val="9"/>
    <w:semiHidden/>
    <w:rsid w:val="00F50465"/>
    <w:rPr>
      <w:rFonts w:eastAsiaTheme="majorEastAsia" w:cstheme="majorBidi"/>
      <w:i/>
      <w:iCs/>
      <w:noProof/>
      <w:color w:val="595959" w:themeColor="text1" w:themeTint="A6"/>
    </w:rPr>
  </w:style>
  <w:style w:type="character" w:customStyle="1" w:styleId="Kop7Char">
    <w:name w:val="Kop 7 Char"/>
    <w:basedOn w:val="Standaardalinea-lettertype"/>
    <w:link w:val="Kop7"/>
    <w:uiPriority w:val="9"/>
    <w:semiHidden/>
    <w:rsid w:val="00F50465"/>
    <w:rPr>
      <w:rFonts w:eastAsiaTheme="majorEastAsia" w:cstheme="majorBidi"/>
      <w:noProof/>
      <w:color w:val="595959" w:themeColor="text1" w:themeTint="A6"/>
    </w:rPr>
  </w:style>
  <w:style w:type="character" w:customStyle="1" w:styleId="Kop8Char">
    <w:name w:val="Kop 8 Char"/>
    <w:basedOn w:val="Standaardalinea-lettertype"/>
    <w:link w:val="Kop8"/>
    <w:uiPriority w:val="9"/>
    <w:semiHidden/>
    <w:rsid w:val="00F50465"/>
    <w:rPr>
      <w:rFonts w:eastAsiaTheme="majorEastAsia" w:cstheme="majorBidi"/>
      <w:i/>
      <w:iCs/>
      <w:noProof/>
      <w:color w:val="272727" w:themeColor="text1" w:themeTint="D8"/>
    </w:rPr>
  </w:style>
  <w:style w:type="character" w:customStyle="1" w:styleId="Kop9Char">
    <w:name w:val="Kop 9 Char"/>
    <w:basedOn w:val="Standaardalinea-lettertype"/>
    <w:link w:val="Kop9"/>
    <w:uiPriority w:val="9"/>
    <w:semiHidden/>
    <w:rsid w:val="00F50465"/>
    <w:rPr>
      <w:rFonts w:eastAsiaTheme="majorEastAsia" w:cstheme="majorBidi"/>
      <w:noProof/>
      <w:color w:val="272727" w:themeColor="text1" w:themeTint="D8"/>
    </w:rPr>
  </w:style>
  <w:style w:type="paragraph" w:styleId="Titel">
    <w:name w:val="Title"/>
    <w:basedOn w:val="Standaard"/>
    <w:next w:val="Standaard"/>
    <w:link w:val="TitelChar"/>
    <w:uiPriority w:val="10"/>
    <w:qFormat/>
    <w:rsid w:val="00F50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0465"/>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F504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0465"/>
    <w:rPr>
      <w:rFonts w:eastAsiaTheme="majorEastAsia"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F504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0465"/>
    <w:rPr>
      <w:i/>
      <w:iCs/>
      <w:noProof/>
      <w:color w:val="404040" w:themeColor="text1" w:themeTint="BF"/>
    </w:rPr>
  </w:style>
  <w:style w:type="paragraph" w:styleId="Lijstalinea">
    <w:name w:val="List Paragraph"/>
    <w:basedOn w:val="Standaard"/>
    <w:uiPriority w:val="34"/>
    <w:qFormat/>
    <w:rsid w:val="00F50465"/>
    <w:pPr>
      <w:ind w:left="720"/>
      <w:contextualSpacing/>
    </w:pPr>
  </w:style>
  <w:style w:type="character" w:styleId="Intensievebenadrukking">
    <w:name w:val="Intense Emphasis"/>
    <w:basedOn w:val="Standaardalinea-lettertype"/>
    <w:uiPriority w:val="21"/>
    <w:qFormat/>
    <w:rsid w:val="00F50465"/>
    <w:rPr>
      <w:i/>
      <w:iCs/>
      <w:color w:val="0F4761" w:themeColor="accent1" w:themeShade="BF"/>
    </w:rPr>
  </w:style>
  <w:style w:type="paragraph" w:styleId="Duidelijkcitaat">
    <w:name w:val="Intense Quote"/>
    <w:basedOn w:val="Standaard"/>
    <w:next w:val="Standaard"/>
    <w:link w:val="DuidelijkcitaatChar"/>
    <w:uiPriority w:val="30"/>
    <w:qFormat/>
    <w:rsid w:val="00F50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0465"/>
    <w:rPr>
      <w:i/>
      <w:iCs/>
      <w:noProof/>
      <w:color w:val="0F4761" w:themeColor="accent1" w:themeShade="BF"/>
    </w:rPr>
  </w:style>
  <w:style w:type="character" w:styleId="Intensieveverwijzing">
    <w:name w:val="Intense Reference"/>
    <w:basedOn w:val="Standaardalinea-lettertype"/>
    <w:uiPriority w:val="32"/>
    <w:qFormat/>
    <w:rsid w:val="00F50465"/>
    <w:rPr>
      <w:b/>
      <w:bCs/>
      <w:smallCaps/>
      <w:color w:val="0F4761" w:themeColor="accent1" w:themeShade="BF"/>
      <w:spacing w:val="5"/>
    </w:rPr>
  </w:style>
  <w:style w:type="table" w:styleId="Tabelraster">
    <w:name w:val="Table Grid"/>
    <w:basedOn w:val="Standaardtabel"/>
    <w:uiPriority w:val="39"/>
    <w:rsid w:val="00E52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966008">
      <w:bodyDiv w:val="1"/>
      <w:marLeft w:val="0"/>
      <w:marRight w:val="0"/>
      <w:marTop w:val="0"/>
      <w:marBottom w:val="0"/>
      <w:divBdr>
        <w:top w:val="none" w:sz="0" w:space="0" w:color="auto"/>
        <w:left w:val="none" w:sz="0" w:space="0" w:color="auto"/>
        <w:bottom w:val="none" w:sz="0" w:space="0" w:color="auto"/>
        <w:right w:val="none" w:sz="0" w:space="0" w:color="auto"/>
      </w:divBdr>
    </w:div>
    <w:div w:id="370544299">
      <w:bodyDiv w:val="1"/>
      <w:marLeft w:val="0"/>
      <w:marRight w:val="0"/>
      <w:marTop w:val="0"/>
      <w:marBottom w:val="0"/>
      <w:divBdr>
        <w:top w:val="none" w:sz="0" w:space="0" w:color="auto"/>
        <w:left w:val="none" w:sz="0" w:space="0" w:color="auto"/>
        <w:bottom w:val="none" w:sz="0" w:space="0" w:color="auto"/>
        <w:right w:val="none" w:sz="0" w:space="0" w:color="auto"/>
      </w:divBdr>
    </w:div>
    <w:div w:id="1525751900">
      <w:bodyDiv w:val="1"/>
      <w:marLeft w:val="0"/>
      <w:marRight w:val="0"/>
      <w:marTop w:val="0"/>
      <w:marBottom w:val="0"/>
      <w:divBdr>
        <w:top w:val="none" w:sz="0" w:space="0" w:color="auto"/>
        <w:left w:val="none" w:sz="0" w:space="0" w:color="auto"/>
        <w:bottom w:val="none" w:sz="0" w:space="0" w:color="auto"/>
        <w:right w:val="none" w:sz="0" w:space="0" w:color="auto"/>
      </w:divBdr>
    </w:div>
    <w:div w:id="169229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709E6-E15D-489F-BA2D-FEC73EF1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2081</Words>
  <Characters>11446</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Stokart</dc:creator>
  <cp:keywords/>
  <dc:description/>
  <cp:lastModifiedBy>Carmen De Coster</cp:lastModifiedBy>
  <cp:revision>5</cp:revision>
  <dcterms:created xsi:type="dcterms:W3CDTF">2024-07-17T14:23:00Z</dcterms:created>
  <dcterms:modified xsi:type="dcterms:W3CDTF">2024-07-30T13:25:00Z</dcterms:modified>
</cp:coreProperties>
</file>